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4A333"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2248"/>
        <w:gridCol w:w="180"/>
        <w:gridCol w:w="6385"/>
        <w:gridCol w:w="21"/>
      </w:tblGrid>
      <w:tr w:rsidR="00CE544A" w:rsidRPr="00975B07" w14:paraId="7F12E435" w14:textId="77777777" w:rsidTr="005F7F7E">
        <w:tc>
          <w:tcPr>
            <w:tcW w:w="2438" w:type="dxa"/>
            <w:gridSpan w:val="3"/>
            <w:shd w:val="clear" w:color="auto" w:fill="auto"/>
          </w:tcPr>
          <w:p w14:paraId="7FC5BA8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5F91FFE5" w14:textId="77777777" w:rsidR="002F0E22" w:rsidRPr="00F95BC9" w:rsidRDefault="006A7C4B" w:rsidP="004A6D2F">
            <w:pPr>
              <w:rPr>
                <w:rStyle w:val="Firstpagetablebold"/>
              </w:rPr>
            </w:pPr>
            <w:r>
              <w:rPr>
                <w:rStyle w:val="Firstpagetablebold"/>
              </w:rPr>
              <w:t>Housing and Homelessness Panel</w:t>
            </w:r>
          </w:p>
        </w:tc>
      </w:tr>
      <w:tr w:rsidR="00CE544A" w:rsidRPr="00975B07" w14:paraId="035BFD85" w14:textId="77777777" w:rsidTr="005F7F7E">
        <w:tc>
          <w:tcPr>
            <w:tcW w:w="2438" w:type="dxa"/>
            <w:gridSpan w:val="3"/>
            <w:shd w:val="clear" w:color="auto" w:fill="auto"/>
          </w:tcPr>
          <w:p w14:paraId="12C9B44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5F16A8F1" w14:textId="77777777" w:rsidR="002F0E22" w:rsidRPr="001356F1" w:rsidRDefault="0077339B" w:rsidP="00C66A11">
            <w:pPr>
              <w:rPr>
                <w:b/>
              </w:rPr>
            </w:pPr>
            <w:r>
              <w:rPr>
                <w:b/>
              </w:rPr>
              <w:t>16</w:t>
            </w:r>
            <w:r w:rsidRPr="0077339B">
              <w:rPr>
                <w:b/>
                <w:vertAlign w:val="superscript"/>
              </w:rPr>
              <w:t>th</w:t>
            </w:r>
            <w:r>
              <w:rPr>
                <w:b/>
              </w:rPr>
              <w:t xml:space="preserve"> December</w:t>
            </w:r>
            <w:r w:rsidR="006A7C4B">
              <w:rPr>
                <w:b/>
              </w:rPr>
              <w:t xml:space="preserve"> 2021</w:t>
            </w:r>
          </w:p>
        </w:tc>
      </w:tr>
      <w:tr w:rsidR="00CE544A" w:rsidRPr="00975B07" w14:paraId="2377837C" w14:textId="77777777" w:rsidTr="005F7F7E">
        <w:tc>
          <w:tcPr>
            <w:tcW w:w="2438" w:type="dxa"/>
            <w:gridSpan w:val="3"/>
            <w:shd w:val="clear" w:color="auto" w:fill="auto"/>
          </w:tcPr>
          <w:p w14:paraId="7B19943B"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F588F20" w14:textId="35F4B223" w:rsidR="0021127E" w:rsidRPr="001356F1" w:rsidRDefault="0011193D" w:rsidP="00B60DCA">
            <w:pPr>
              <w:rPr>
                <w:rStyle w:val="Firstpagetablebold"/>
              </w:rPr>
            </w:pPr>
            <w:r>
              <w:rPr>
                <w:rStyle w:val="Firstpagetablebold"/>
              </w:rPr>
              <w:t>Executive Director - Communities and People</w:t>
            </w:r>
          </w:p>
        </w:tc>
      </w:tr>
      <w:tr w:rsidR="00CE544A" w:rsidRPr="00975B07" w14:paraId="65C41988" w14:textId="77777777" w:rsidTr="005F7F7E">
        <w:tc>
          <w:tcPr>
            <w:tcW w:w="2438" w:type="dxa"/>
            <w:gridSpan w:val="3"/>
            <w:shd w:val="clear" w:color="auto" w:fill="auto"/>
          </w:tcPr>
          <w:p w14:paraId="3AFC031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71104BEB" w14:textId="77777777" w:rsidR="00D7709B" w:rsidRDefault="00D7709B" w:rsidP="00D7709B">
            <w:pPr>
              <w:rPr>
                <w:rFonts w:cs="Arial"/>
                <w:b/>
              </w:rPr>
            </w:pPr>
            <w:r w:rsidRPr="007533CE">
              <w:rPr>
                <w:rFonts w:cs="Arial"/>
                <w:b/>
              </w:rPr>
              <w:t xml:space="preserve">Quarter </w:t>
            </w:r>
            <w:r w:rsidR="0077339B">
              <w:rPr>
                <w:rFonts w:cs="Arial"/>
                <w:b/>
              </w:rPr>
              <w:t>two</w:t>
            </w:r>
            <w:r w:rsidRPr="007533CE">
              <w:rPr>
                <w:rFonts w:cs="Arial"/>
                <w:b/>
              </w:rPr>
              <w:t xml:space="preserve"> </w:t>
            </w:r>
            <w:r>
              <w:rPr>
                <w:rFonts w:cs="Arial"/>
                <w:b/>
              </w:rPr>
              <w:t>(</w:t>
            </w:r>
            <w:r w:rsidR="0077339B">
              <w:rPr>
                <w:rFonts w:cs="Arial"/>
                <w:b/>
              </w:rPr>
              <w:t>July</w:t>
            </w:r>
            <w:r>
              <w:rPr>
                <w:rFonts w:cs="Arial"/>
                <w:b/>
              </w:rPr>
              <w:t xml:space="preserve"> – </w:t>
            </w:r>
            <w:r w:rsidR="0077339B">
              <w:rPr>
                <w:rFonts w:cs="Arial"/>
                <w:b/>
              </w:rPr>
              <w:t>September</w:t>
            </w:r>
            <w:r>
              <w:rPr>
                <w:rFonts w:cs="Arial"/>
                <w:b/>
              </w:rPr>
              <w:t xml:space="preserve"> 2021) </w:t>
            </w:r>
            <w:r w:rsidRPr="007533CE">
              <w:rPr>
                <w:rFonts w:cs="Arial"/>
                <w:b/>
              </w:rPr>
              <w:t xml:space="preserve">update on the performance of Housing Services and </w:t>
            </w:r>
            <w:r>
              <w:rPr>
                <w:rFonts w:cs="Arial"/>
                <w:b/>
              </w:rPr>
              <w:t xml:space="preserve">the </w:t>
            </w:r>
            <w:r w:rsidRPr="007533CE">
              <w:rPr>
                <w:rFonts w:cs="Arial"/>
                <w:b/>
              </w:rPr>
              <w:t>housing related functions of Oxford City Council</w:t>
            </w:r>
          </w:p>
          <w:p w14:paraId="193D7527" w14:textId="77777777" w:rsidR="00F445B1" w:rsidRPr="001356F1" w:rsidRDefault="00F445B1" w:rsidP="00B60DCA">
            <w:pPr>
              <w:rPr>
                <w:rStyle w:val="Firstpagetablebold"/>
              </w:rPr>
            </w:pPr>
          </w:p>
        </w:tc>
      </w:tr>
      <w:tr w:rsidR="00D5547E" w14:paraId="3982709F"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8813" w:type="dxa"/>
            <w:gridSpan w:val="3"/>
            <w:tcBorders>
              <w:bottom w:val="single" w:sz="8" w:space="0" w:color="000000"/>
            </w:tcBorders>
            <w:hideMark/>
          </w:tcPr>
          <w:p w14:paraId="2F14515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EFFC9AB"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single" w:sz="8" w:space="0" w:color="000000"/>
              <w:left w:val="single" w:sz="8" w:space="0" w:color="000000"/>
              <w:bottom w:val="nil"/>
              <w:right w:val="nil"/>
            </w:tcBorders>
            <w:hideMark/>
          </w:tcPr>
          <w:p w14:paraId="5C2745B2" w14:textId="77777777" w:rsidR="00D5547E" w:rsidRDefault="00D5547E">
            <w:pPr>
              <w:rPr>
                <w:rStyle w:val="Firstpagetablebold"/>
              </w:rPr>
            </w:pPr>
            <w:r>
              <w:rPr>
                <w:rStyle w:val="Firstpagetablebold"/>
              </w:rPr>
              <w:t>Purpose of report:</w:t>
            </w:r>
          </w:p>
        </w:tc>
        <w:tc>
          <w:tcPr>
            <w:tcW w:w="6565" w:type="dxa"/>
            <w:gridSpan w:val="2"/>
            <w:tcBorders>
              <w:top w:val="single" w:sz="8" w:space="0" w:color="000000"/>
              <w:left w:val="nil"/>
              <w:bottom w:val="nil"/>
              <w:right w:val="single" w:sz="8" w:space="0" w:color="000000"/>
            </w:tcBorders>
            <w:hideMark/>
          </w:tcPr>
          <w:p w14:paraId="69A9B7DF" w14:textId="72781137" w:rsidR="00D5547E" w:rsidRPr="001356F1" w:rsidRDefault="00A91B9B" w:rsidP="0077339B">
            <w:r>
              <w:t>To</w:t>
            </w:r>
            <w:r w:rsidR="006A7C4B">
              <w:t xml:space="preserve"> update the Housing and</w:t>
            </w:r>
            <w:r w:rsidR="0077339B">
              <w:t xml:space="preserve"> Homelessness Panel on quarter 2</w:t>
            </w:r>
            <w:r w:rsidR="006A7C4B">
              <w:t xml:space="preserve"> </w:t>
            </w:r>
            <w:r w:rsidR="004E4158">
              <w:t>performance for Housing Services</w:t>
            </w:r>
            <w:r>
              <w:t xml:space="preserve"> </w:t>
            </w:r>
          </w:p>
        </w:tc>
      </w:tr>
      <w:tr w:rsidR="00D5547E" w14:paraId="17C9556C"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14:paraId="25E86EED" w14:textId="77777777" w:rsidR="00D5547E" w:rsidRDefault="00D5547E">
            <w:pPr>
              <w:rPr>
                <w:rStyle w:val="Firstpagetablebold"/>
              </w:rPr>
            </w:pPr>
            <w:r>
              <w:rPr>
                <w:rStyle w:val="Firstpagetablebold"/>
              </w:rPr>
              <w:t>Key decision:</w:t>
            </w:r>
          </w:p>
        </w:tc>
        <w:tc>
          <w:tcPr>
            <w:tcW w:w="6565" w:type="dxa"/>
            <w:gridSpan w:val="2"/>
            <w:tcBorders>
              <w:top w:val="nil"/>
              <w:left w:val="nil"/>
              <w:bottom w:val="nil"/>
              <w:right w:val="single" w:sz="8" w:space="0" w:color="000000"/>
            </w:tcBorders>
            <w:hideMark/>
          </w:tcPr>
          <w:p w14:paraId="60F450B7" w14:textId="77777777" w:rsidR="00D5547E" w:rsidRPr="001356F1" w:rsidRDefault="00E847A6" w:rsidP="005F7F7E">
            <w:r>
              <w:t>No</w:t>
            </w:r>
          </w:p>
        </w:tc>
      </w:tr>
      <w:tr w:rsidR="00D5547E" w14:paraId="6E8E38C4"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14:paraId="21DEDB04" w14:textId="77777777" w:rsidR="00D5547E" w:rsidRDefault="0074109C">
            <w:pPr>
              <w:rPr>
                <w:rStyle w:val="Firstpagetablebold"/>
              </w:rPr>
            </w:pPr>
            <w:r>
              <w:rPr>
                <w:rStyle w:val="Firstpagetablebold"/>
              </w:rPr>
              <w:t>Cabinet</w:t>
            </w:r>
            <w:r w:rsidR="00D5547E">
              <w:rPr>
                <w:rStyle w:val="Firstpagetablebold"/>
              </w:rPr>
              <w:t xml:space="preserve"> Member:</w:t>
            </w:r>
          </w:p>
        </w:tc>
        <w:tc>
          <w:tcPr>
            <w:tcW w:w="6565" w:type="dxa"/>
            <w:gridSpan w:val="2"/>
            <w:tcBorders>
              <w:top w:val="nil"/>
              <w:left w:val="nil"/>
              <w:bottom w:val="nil"/>
              <w:right w:val="single" w:sz="8" w:space="0" w:color="000000"/>
            </w:tcBorders>
            <w:hideMark/>
          </w:tcPr>
          <w:p w14:paraId="7D84E691" w14:textId="77777777" w:rsidR="00D5547E" w:rsidRPr="001356F1" w:rsidRDefault="00D5547E" w:rsidP="001119CD">
            <w:r w:rsidRPr="001356F1">
              <w:t xml:space="preserve">Councillor </w:t>
            </w:r>
            <w:proofErr w:type="spellStart"/>
            <w:r w:rsidR="006A7C4B">
              <w:t>Diko</w:t>
            </w:r>
            <w:proofErr w:type="spellEnd"/>
            <w:r w:rsidR="006A7C4B">
              <w:t xml:space="preserve"> Blackings</w:t>
            </w:r>
          </w:p>
        </w:tc>
      </w:tr>
      <w:tr w:rsidR="0080749A" w14:paraId="0042F446"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tcPr>
          <w:p w14:paraId="6124AD37" w14:textId="77777777" w:rsidR="0080749A" w:rsidRDefault="0080749A">
            <w:pPr>
              <w:rPr>
                <w:rStyle w:val="Firstpagetablebold"/>
              </w:rPr>
            </w:pPr>
            <w:r>
              <w:rPr>
                <w:rStyle w:val="Firstpagetablebold"/>
              </w:rPr>
              <w:t>Corporate Priority:</w:t>
            </w:r>
          </w:p>
        </w:tc>
        <w:tc>
          <w:tcPr>
            <w:tcW w:w="6565" w:type="dxa"/>
            <w:gridSpan w:val="2"/>
            <w:tcBorders>
              <w:top w:val="nil"/>
              <w:left w:val="nil"/>
              <w:bottom w:val="nil"/>
              <w:right w:val="single" w:sz="8" w:space="0" w:color="000000"/>
            </w:tcBorders>
          </w:tcPr>
          <w:p w14:paraId="5715F41E" w14:textId="77777777" w:rsidR="0080749A" w:rsidRPr="001356F1" w:rsidRDefault="00665B05" w:rsidP="00665B05">
            <w:r>
              <w:t xml:space="preserve">Deliver more, affordable homes; </w:t>
            </w:r>
            <w:r w:rsidR="006A7C4B">
              <w:t>Supporting Thriving Communities</w:t>
            </w:r>
          </w:p>
        </w:tc>
      </w:tr>
      <w:tr w:rsidR="00D5547E" w14:paraId="64077AC3"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Pr>
        <w:tc>
          <w:tcPr>
            <w:tcW w:w="2248" w:type="dxa"/>
            <w:tcBorders>
              <w:top w:val="nil"/>
              <w:left w:val="single" w:sz="8" w:space="0" w:color="000000"/>
              <w:bottom w:val="nil"/>
              <w:right w:val="nil"/>
            </w:tcBorders>
            <w:hideMark/>
          </w:tcPr>
          <w:p w14:paraId="23A1DEF3" w14:textId="77777777" w:rsidR="00D5547E" w:rsidRDefault="00D5547E">
            <w:pPr>
              <w:rPr>
                <w:rStyle w:val="Firstpagetablebold"/>
              </w:rPr>
            </w:pPr>
            <w:r>
              <w:rPr>
                <w:rStyle w:val="Firstpagetablebold"/>
              </w:rPr>
              <w:t>Policy Framework:</w:t>
            </w:r>
          </w:p>
        </w:tc>
        <w:tc>
          <w:tcPr>
            <w:tcW w:w="6565" w:type="dxa"/>
            <w:gridSpan w:val="2"/>
            <w:tcBorders>
              <w:top w:val="nil"/>
              <w:left w:val="nil"/>
              <w:bottom w:val="nil"/>
              <w:right w:val="single" w:sz="8" w:space="0" w:color="000000"/>
            </w:tcBorders>
            <w:hideMark/>
          </w:tcPr>
          <w:p w14:paraId="13F2C8A1" w14:textId="77777777" w:rsidR="00D5547E" w:rsidRPr="001356F1" w:rsidRDefault="00D7709B" w:rsidP="006A7C4B">
            <w:r>
              <w:t>Corporate Plan</w:t>
            </w:r>
          </w:p>
        </w:tc>
      </w:tr>
      <w:tr w:rsidR="005F7F7E" w:rsidRPr="00975B07" w14:paraId="521C9E8E" w14:textId="77777777" w:rsidTr="00684EE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gridAfter w:val="1"/>
          <w:wBefore w:w="10" w:type="dxa"/>
          <w:wAfter w:w="21" w:type="dxa"/>
          <w:trHeight w:val="413"/>
        </w:trPr>
        <w:tc>
          <w:tcPr>
            <w:tcW w:w="8813" w:type="dxa"/>
            <w:gridSpan w:val="3"/>
            <w:tcBorders>
              <w:bottom w:val="single" w:sz="8" w:space="0" w:color="000000"/>
            </w:tcBorders>
          </w:tcPr>
          <w:p w14:paraId="0DFD867A" w14:textId="77777777" w:rsidR="005F7F7E" w:rsidRPr="00E847A6" w:rsidRDefault="005F7F7E" w:rsidP="00452C2E">
            <w:r>
              <w:rPr>
                <w:rStyle w:val="Firstpagetablebold"/>
              </w:rPr>
              <w:t>Recommendation(s):</w:t>
            </w:r>
            <w:r w:rsidR="007E64F0">
              <w:rPr>
                <w:rStyle w:val="Firstpagetablebold"/>
              </w:rPr>
              <w:t xml:space="preserve"> </w:t>
            </w:r>
            <w:r>
              <w:rPr>
                <w:rStyle w:val="Firstpagetablebold"/>
              </w:rPr>
              <w:t xml:space="preserve">That the </w:t>
            </w:r>
            <w:r w:rsidR="00452C2E">
              <w:rPr>
                <w:rStyle w:val="Firstpagetablebold"/>
              </w:rPr>
              <w:t>Panel</w:t>
            </w:r>
            <w:r w:rsidR="00A85B0E">
              <w:rPr>
                <w:rStyle w:val="Firstpagetablebold"/>
              </w:rPr>
              <w:t xml:space="preserve"> resolves to</w:t>
            </w:r>
            <w:r>
              <w:rPr>
                <w:rStyle w:val="Firstpagetablebold"/>
              </w:rPr>
              <w:t>:</w:t>
            </w:r>
            <w:r w:rsidR="00E847A6">
              <w:rPr>
                <w:rStyle w:val="Firstpagetablebold"/>
              </w:rPr>
              <w:t xml:space="preserve"> </w:t>
            </w:r>
            <w:r w:rsidR="00E847A6">
              <w:rPr>
                <w:rStyle w:val="Firstpagetablebold"/>
                <w:b w:val="0"/>
              </w:rPr>
              <w:t>note the report having agreed any recommendations to Cabinet concerning its contents.</w:t>
            </w:r>
          </w:p>
        </w:tc>
      </w:tr>
    </w:tbl>
    <w:p w14:paraId="2EFB9C2E" w14:textId="77777777" w:rsidR="00CE544A" w:rsidRPr="00B1310E" w:rsidRDefault="00CE544A" w:rsidP="004A6D2F">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66"/>
      </w:tblGrid>
      <w:tr w:rsidR="00B1310E" w:rsidRPr="00B1310E" w14:paraId="69D0EE2B" w14:textId="77777777" w:rsidTr="0021127E">
        <w:tc>
          <w:tcPr>
            <w:tcW w:w="9170" w:type="dxa"/>
            <w:gridSpan w:val="2"/>
            <w:tcBorders>
              <w:top w:val="single" w:sz="8" w:space="0" w:color="000000"/>
              <w:left w:val="single" w:sz="8" w:space="0" w:color="000000"/>
              <w:bottom w:val="single" w:sz="8" w:space="0" w:color="000000"/>
              <w:right w:val="single" w:sz="8" w:space="0" w:color="000000"/>
            </w:tcBorders>
            <w:shd w:val="clear" w:color="auto" w:fill="auto"/>
          </w:tcPr>
          <w:p w14:paraId="05A36E73" w14:textId="77777777" w:rsidR="00966D42" w:rsidRPr="00E3210A" w:rsidRDefault="00966D42" w:rsidP="00263EA3">
            <w:pPr>
              <w:jc w:val="center"/>
              <w:rPr>
                <w:color w:val="auto"/>
              </w:rPr>
            </w:pPr>
            <w:r w:rsidRPr="00E3210A">
              <w:rPr>
                <w:rStyle w:val="Firstpagetablebold"/>
                <w:color w:val="auto"/>
              </w:rPr>
              <w:t>Appendices</w:t>
            </w:r>
          </w:p>
        </w:tc>
      </w:tr>
      <w:tr w:rsidR="0074109C" w:rsidRPr="00B1310E" w14:paraId="2368C600" w14:textId="77777777" w:rsidTr="0021127E">
        <w:tc>
          <w:tcPr>
            <w:tcW w:w="2404" w:type="dxa"/>
            <w:tcBorders>
              <w:top w:val="nil"/>
              <w:left w:val="single" w:sz="8" w:space="0" w:color="000000"/>
              <w:bottom w:val="single" w:sz="8" w:space="0" w:color="000000"/>
              <w:right w:val="nil"/>
            </w:tcBorders>
            <w:shd w:val="clear" w:color="auto" w:fill="auto"/>
          </w:tcPr>
          <w:p w14:paraId="0F4DD0E6" w14:textId="77777777" w:rsidR="007333C3" w:rsidRPr="00E3210A" w:rsidRDefault="006A7C4B" w:rsidP="006A7C4B">
            <w:pPr>
              <w:rPr>
                <w:color w:val="auto"/>
              </w:rPr>
            </w:pPr>
            <w:r>
              <w:rPr>
                <w:color w:val="auto"/>
              </w:rPr>
              <w:t xml:space="preserve">Appendix 1   </w:t>
            </w:r>
          </w:p>
        </w:tc>
        <w:tc>
          <w:tcPr>
            <w:tcW w:w="6766" w:type="dxa"/>
            <w:tcBorders>
              <w:top w:val="nil"/>
              <w:left w:val="nil"/>
              <w:bottom w:val="single" w:sz="8" w:space="0" w:color="000000"/>
              <w:right w:val="single" w:sz="8" w:space="0" w:color="000000"/>
            </w:tcBorders>
          </w:tcPr>
          <w:p w14:paraId="3753C2E6" w14:textId="77777777" w:rsidR="00953A87" w:rsidRPr="00E3210A" w:rsidRDefault="00251FE4" w:rsidP="00251FE4">
            <w:pPr>
              <w:tabs>
                <w:tab w:val="left" w:pos="2160"/>
              </w:tabs>
              <w:rPr>
                <w:color w:val="auto"/>
              </w:rPr>
            </w:pPr>
            <w:r>
              <w:rPr>
                <w:color w:val="auto"/>
              </w:rPr>
              <w:t xml:space="preserve">Corporate and Service KPIs, Housing Services </w:t>
            </w:r>
          </w:p>
        </w:tc>
      </w:tr>
    </w:tbl>
    <w:p w14:paraId="0580BCAE" w14:textId="77777777" w:rsidR="00BD3A56" w:rsidRDefault="00BD3A56" w:rsidP="004A6D2F">
      <w:pPr>
        <w:pStyle w:val="Heading1"/>
        <w:rPr>
          <w:color w:val="FF0000"/>
        </w:rPr>
      </w:pPr>
    </w:p>
    <w:p w14:paraId="36D3080C" w14:textId="77777777" w:rsidR="00684EE2" w:rsidRDefault="00684EE2" w:rsidP="00684EE2"/>
    <w:p w14:paraId="58E88DF9" w14:textId="77777777" w:rsidR="00684EE2" w:rsidRDefault="00684EE2" w:rsidP="00684EE2"/>
    <w:p w14:paraId="6C9B6C96" w14:textId="77777777" w:rsidR="0021127E" w:rsidRDefault="0021127E">
      <w:pPr>
        <w:spacing w:after="0"/>
      </w:pPr>
      <w:r>
        <w:br w:type="page"/>
      </w:r>
    </w:p>
    <w:p w14:paraId="21A19C3F" w14:textId="77777777" w:rsidR="004D3B4C" w:rsidRPr="00E847A6" w:rsidRDefault="0062626A" w:rsidP="00E847A6">
      <w:pPr>
        <w:pStyle w:val="Heading1"/>
        <w:ind w:left="360" w:hanging="360"/>
        <w:rPr>
          <w:color w:val="auto"/>
        </w:rPr>
      </w:pPr>
      <w:r>
        <w:rPr>
          <w:color w:val="auto"/>
        </w:rPr>
        <w:lastRenderedPageBreak/>
        <w:t>I</w:t>
      </w:r>
      <w:r w:rsidR="00F66DCA" w:rsidRPr="00CF57EB">
        <w:rPr>
          <w:color w:val="auto"/>
        </w:rPr>
        <w:t>ntroduction and b</w:t>
      </w:r>
      <w:r w:rsidR="00151888" w:rsidRPr="00CF57EB">
        <w:rPr>
          <w:color w:val="auto"/>
        </w:rPr>
        <w:t>ackground</w:t>
      </w:r>
      <w:r w:rsidR="00404032" w:rsidRPr="00CF57EB">
        <w:rPr>
          <w:color w:val="auto"/>
        </w:rPr>
        <w:t xml:space="preserve"> </w:t>
      </w:r>
    </w:p>
    <w:p w14:paraId="4FF3EA23" w14:textId="77777777" w:rsidR="00D7709B" w:rsidRPr="0077339B" w:rsidRDefault="00896A9E" w:rsidP="0077339B">
      <w:pPr>
        <w:pStyle w:val="ListParagraph"/>
        <w:numPr>
          <w:ilvl w:val="0"/>
          <w:numId w:val="40"/>
        </w:numPr>
        <w:rPr>
          <w:bCs/>
        </w:rPr>
      </w:pPr>
      <w:r w:rsidRPr="0077339B">
        <w:rPr>
          <w:bCs/>
        </w:rPr>
        <w:t>This report provides a</w:t>
      </w:r>
      <w:r w:rsidR="00D7709B" w:rsidRPr="0077339B">
        <w:rPr>
          <w:bCs/>
        </w:rPr>
        <w:t xml:space="preserve"> </w:t>
      </w:r>
      <w:r w:rsidRPr="0077339B">
        <w:rPr>
          <w:bCs/>
        </w:rPr>
        <w:t>performance update for</w:t>
      </w:r>
      <w:r w:rsidR="00D7709B" w:rsidRPr="0077339B">
        <w:rPr>
          <w:bCs/>
        </w:rPr>
        <w:t xml:space="preserve"> Housing Services and the housing related functions of Oxford City Council. The report includes in depth commentary in relation to significant work areas. </w:t>
      </w:r>
    </w:p>
    <w:p w14:paraId="5B6A24F8" w14:textId="77777777" w:rsidR="00D7709B" w:rsidRPr="0077339B" w:rsidRDefault="00D7709B" w:rsidP="0077339B">
      <w:pPr>
        <w:pStyle w:val="ListParagraph"/>
        <w:numPr>
          <w:ilvl w:val="0"/>
          <w:numId w:val="40"/>
        </w:numPr>
        <w:rPr>
          <w:bCs/>
        </w:rPr>
      </w:pPr>
      <w:r w:rsidRPr="0077339B">
        <w:rPr>
          <w:bCs/>
        </w:rPr>
        <w:t>Specific data and brief commentary in relation to Corporate and Service level Key Performance Indicators (KPIs) are provided in Appendix 1.</w:t>
      </w:r>
    </w:p>
    <w:p w14:paraId="12191949" w14:textId="77777777" w:rsidR="00D7709B" w:rsidRPr="00D7709B" w:rsidRDefault="00D7709B" w:rsidP="00D7709B">
      <w:pPr>
        <w:rPr>
          <w:bCs/>
        </w:rPr>
      </w:pPr>
    </w:p>
    <w:p w14:paraId="67EBBB2B" w14:textId="77777777" w:rsidR="00D7709B" w:rsidRPr="00D7709B" w:rsidRDefault="00D7709B" w:rsidP="00D7709B">
      <w:pPr>
        <w:rPr>
          <w:b/>
          <w:bCs/>
        </w:rPr>
      </w:pPr>
      <w:r>
        <w:rPr>
          <w:b/>
          <w:bCs/>
        </w:rPr>
        <w:t>Homelessness and rough sleeping</w:t>
      </w:r>
    </w:p>
    <w:p w14:paraId="59783C8F" w14:textId="6352DC8D" w:rsidR="0077339B" w:rsidRDefault="00FD4534" w:rsidP="0077339B">
      <w:pPr>
        <w:pStyle w:val="ListParagraph"/>
        <w:numPr>
          <w:ilvl w:val="0"/>
          <w:numId w:val="40"/>
        </w:numPr>
        <w:rPr>
          <w:rFonts w:cs="Arial"/>
        </w:rPr>
      </w:pPr>
      <w:r>
        <w:rPr>
          <w:rFonts w:cs="Arial"/>
        </w:rPr>
        <w:t>Quarter two</w:t>
      </w:r>
      <w:r w:rsidR="0077339B" w:rsidRPr="0077339B">
        <w:rPr>
          <w:rFonts w:cs="Arial"/>
        </w:rPr>
        <w:t xml:space="preserve"> of this year has been an unusual period defined by the post lockdown recovery, with parts of society and the economy starting to return to more like pre-pandemic patterns, but with the impact </w:t>
      </w:r>
      <w:r w:rsidR="00E402BD">
        <w:rPr>
          <w:rFonts w:cs="Arial"/>
        </w:rPr>
        <w:t>from</w:t>
      </w:r>
      <w:r w:rsidR="0077339B" w:rsidRPr="0077339B">
        <w:rPr>
          <w:rFonts w:cs="Arial"/>
        </w:rPr>
        <w:t xml:space="preserve"> the</w:t>
      </w:r>
      <w:r w:rsidR="00E402BD">
        <w:rPr>
          <w:rFonts w:cs="Arial"/>
        </w:rPr>
        <w:t xml:space="preserve"> ending of</w:t>
      </w:r>
      <w:r w:rsidR="0077339B" w:rsidRPr="0077339B">
        <w:rPr>
          <w:rFonts w:cs="Arial"/>
        </w:rPr>
        <w:t xml:space="preserve"> national measures to support vulnerably housed people being felt, with knock on demands on homelessness services. </w:t>
      </w:r>
    </w:p>
    <w:p w14:paraId="74B80EEA" w14:textId="6423602F" w:rsidR="0077339B" w:rsidRDefault="0077339B" w:rsidP="0077339B">
      <w:pPr>
        <w:pStyle w:val="ListParagraph"/>
        <w:numPr>
          <w:ilvl w:val="0"/>
          <w:numId w:val="40"/>
        </w:numPr>
        <w:rPr>
          <w:rFonts w:cs="Arial"/>
        </w:rPr>
      </w:pPr>
      <w:r>
        <w:rPr>
          <w:rFonts w:cs="Arial"/>
        </w:rPr>
        <w:t>T</w:t>
      </w:r>
      <w:r w:rsidRPr="0077339B">
        <w:rPr>
          <w:rFonts w:cs="Arial"/>
        </w:rPr>
        <w:t xml:space="preserve">his was the first quarter that services have started to see the impact of the eviction ban being lifted, as well as measures such as the ending of furlough and the end of the £20 per week Universal Credit uplift. This has resulted in a changing profile of people seeking support from the council </w:t>
      </w:r>
      <w:r w:rsidR="004604CB">
        <w:rPr>
          <w:rFonts w:cs="Arial"/>
        </w:rPr>
        <w:t xml:space="preserve">due to </w:t>
      </w:r>
      <w:bookmarkStart w:id="0" w:name="_GoBack"/>
      <w:bookmarkEnd w:id="0"/>
      <w:r w:rsidR="00E402BD">
        <w:rPr>
          <w:rFonts w:cs="Arial"/>
        </w:rPr>
        <w:t>homelessness</w:t>
      </w:r>
      <w:r w:rsidRPr="0077339B">
        <w:rPr>
          <w:rFonts w:cs="Arial"/>
        </w:rPr>
        <w:t>, with increasing demand from families and households from the private rented sector now observed, while overall demand has stayed higher than pre pandemic levels both in term of homelessness presentations and placements into temporary accommodation.</w:t>
      </w:r>
    </w:p>
    <w:p w14:paraId="54212676" w14:textId="77777777" w:rsidR="0077339B" w:rsidRDefault="0077339B" w:rsidP="0077339B">
      <w:pPr>
        <w:pStyle w:val="ListParagraph"/>
        <w:numPr>
          <w:ilvl w:val="0"/>
          <w:numId w:val="40"/>
        </w:numPr>
        <w:rPr>
          <w:rFonts w:cs="Arial"/>
        </w:rPr>
      </w:pPr>
      <w:r w:rsidRPr="0077339B">
        <w:rPr>
          <w:rFonts w:cs="Arial"/>
        </w:rPr>
        <w:t xml:space="preserve">The summer also saw further gradual ending of the Everybody In scheme of pandemic support for rough sleepers, and a huge effort from the council and its partners to seek to rehouse those in interim accommodation. Canterbury House which was used to accommodate 76 people who would otherwise be rough sleeping was closed in August, with those who remained, who were willing to engage with services to find a realistic accommodation solution, accommodated in a hotel when they left. We are currently in the process of moving people on from the other site at the YHA. The exit from the YHA is a major challenge as we seek to find suitable accommodation for those leaving. We have now agreed a short extension on the lease to give more time to help, seeking to move everybody on by the end of February. </w:t>
      </w:r>
    </w:p>
    <w:p w14:paraId="16CD55A9" w14:textId="03394EB7" w:rsidR="0077339B" w:rsidRDefault="0077339B" w:rsidP="0077339B">
      <w:pPr>
        <w:pStyle w:val="ListParagraph"/>
        <w:numPr>
          <w:ilvl w:val="0"/>
          <w:numId w:val="40"/>
        </w:numPr>
        <w:rPr>
          <w:rFonts w:cs="Arial"/>
        </w:rPr>
      </w:pPr>
      <w:r w:rsidRPr="0077339B">
        <w:rPr>
          <w:rFonts w:cs="Arial"/>
        </w:rPr>
        <w:t>Our official estimate was 27 people were</w:t>
      </w:r>
      <w:r w:rsidR="00FD4534">
        <w:rPr>
          <w:rFonts w:cs="Arial"/>
        </w:rPr>
        <w:t xml:space="preserve"> rough sleeping at the end of quarter two</w:t>
      </w:r>
      <w:r w:rsidRPr="0077339B">
        <w:rPr>
          <w:rFonts w:cs="Arial"/>
        </w:rPr>
        <w:t xml:space="preserve">, similar to the </w:t>
      </w:r>
      <w:r w:rsidR="004E4158">
        <w:rPr>
          <w:rFonts w:cs="Arial"/>
        </w:rPr>
        <w:t xml:space="preserve">number at the </w:t>
      </w:r>
      <w:r w:rsidRPr="0077339B">
        <w:rPr>
          <w:rFonts w:cs="Arial"/>
        </w:rPr>
        <w:t xml:space="preserve">end of last year which saw the number of rough sleepers drop to 26, down from 62 at the end of 19/20. Our end of year target is 17, a number we are aiming to hit as continue to work hard to ensure all those moving out of interim accommodation have an offer and those on the street are all given a suitable offer. The summer months are traditionally when rough sleeping peaks each year, made more challenging this year due to the reducing interim accommodation, but we continue to work to bring numbers down further. Plans are currently underway to reopen the Floyds Row centre in the near the future, but with challenges to overcome to ensure this can be done in a </w:t>
      </w:r>
      <w:proofErr w:type="spellStart"/>
      <w:r w:rsidRPr="0077339B">
        <w:rPr>
          <w:rFonts w:cs="Arial"/>
        </w:rPr>
        <w:t>covid</w:t>
      </w:r>
      <w:proofErr w:type="spellEnd"/>
      <w:r w:rsidRPr="0077339B">
        <w:rPr>
          <w:rFonts w:cs="Arial"/>
        </w:rPr>
        <w:t xml:space="preserve"> secure way. The reopening of Floyds Row will help ensure that there is an offer of emergency accommodation to people who are rough sleeping, so a plan to move into settled accommodation can be worked out in a place of warmth and safety.</w:t>
      </w:r>
    </w:p>
    <w:p w14:paraId="5E5BF13C" w14:textId="1D10C90A" w:rsidR="0077339B" w:rsidRDefault="0077339B" w:rsidP="0077339B">
      <w:pPr>
        <w:pStyle w:val="ListParagraph"/>
        <w:numPr>
          <w:ilvl w:val="0"/>
          <w:numId w:val="40"/>
        </w:numPr>
        <w:rPr>
          <w:rFonts w:cs="Arial"/>
        </w:rPr>
      </w:pPr>
      <w:r w:rsidRPr="0077339B">
        <w:rPr>
          <w:rFonts w:cs="Arial"/>
        </w:rPr>
        <w:lastRenderedPageBreak/>
        <w:t xml:space="preserve">Statutory homelessness services </w:t>
      </w:r>
      <w:r w:rsidR="00FD4534">
        <w:rPr>
          <w:rFonts w:cs="Arial"/>
        </w:rPr>
        <w:t>delivered by the Council</w:t>
      </w:r>
      <w:r w:rsidRPr="0077339B">
        <w:rPr>
          <w:rFonts w:cs="Arial"/>
        </w:rPr>
        <w:t xml:space="preserve"> continued to perform well in quarter </w:t>
      </w:r>
      <w:r w:rsidR="00FD4534">
        <w:rPr>
          <w:rFonts w:cs="Arial"/>
        </w:rPr>
        <w:t>two</w:t>
      </w:r>
      <w:r w:rsidRPr="0077339B">
        <w:rPr>
          <w:rFonts w:cs="Arial"/>
        </w:rPr>
        <w:t>, despite high demand. The number of households in temporary accommodati</w:t>
      </w:r>
      <w:r w:rsidR="00FD4534">
        <w:rPr>
          <w:rFonts w:cs="Arial"/>
        </w:rPr>
        <w:t>on stood at 104 at the end of the quarter</w:t>
      </w:r>
      <w:r w:rsidRPr="0077339B">
        <w:rPr>
          <w:rFonts w:cs="Arial"/>
        </w:rPr>
        <w:t xml:space="preserve">, within the target of 110. </w:t>
      </w:r>
      <w:r w:rsidR="00FD4534">
        <w:rPr>
          <w:rFonts w:cs="Arial"/>
        </w:rPr>
        <w:t>Whilst</w:t>
      </w:r>
      <w:r w:rsidRPr="0077339B">
        <w:rPr>
          <w:rFonts w:cs="Arial"/>
        </w:rPr>
        <w:t xml:space="preserve"> still within target, </w:t>
      </w:r>
      <w:r w:rsidR="00FD4534">
        <w:rPr>
          <w:rFonts w:cs="Arial"/>
        </w:rPr>
        <w:t>the figure has been as high as 114 at times during this quarter, with sustained pressure on temporary accommodation as the court system opens up and the eviction ban lifted</w:t>
      </w:r>
      <w:r w:rsidRPr="0077339B">
        <w:rPr>
          <w:rFonts w:cs="Arial"/>
        </w:rPr>
        <w:t>. A number of measures are being taken to respond to this, with staff making a concerted effort to increase move on into long term accommodation, informed by wider services development as we seek to move towards a more “rapid rehousing” model with shorter stays in temporary accommodation.</w:t>
      </w:r>
    </w:p>
    <w:p w14:paraId="08427786" w14:textId="0F0AB351" w:rsidR="0077339B" w:rsidRDefault="0077339B" w:rsidP="0077339B">
      <w:pPr>
        <w:pStyle w:val="ListParagraph"/>
        <w:numPr>
          <w:ilvl w:val="0"/>
          <w:numId w:val="40"/>
        </w:numPr>
        <w:rPr>
          <w:rFonts w:cs="Arial"/>
        </w:rPr>
      </w:pPr>
      <w:r w:rsidRPr="0077339B">
        <w:rPr>
          <w:rFonts w:cs="Arial"/>
        </w:rPr>
        <w:t>In October the Council received £223,729 in new Homelessness Prevention Grant funding for ho</w:t>
      </w:r>
      <w:r w:rsidR="00FD4534">
        <w:rPr>
          <w:rFonts w:cs="Arial"/>
        </w:rPr>
        <w:t>melessness prevention from DLUHC</w:t>
      </w:r>
      <w:r w:rsidRPr="0077339B">
        <w:rPr>
          <w:rFonts w:cs="Arial"/>
        </w:rPr>
        <w:t>, for supporting vulnerable renters impacted by the pandemic.  We are looking to use some of these funds to respond to the homelessness pressure since the end of the eviction ban, with funding going towards further support for tenancy sustainment for private tenants, and more support given to tenants to engage with their landlords to find ways</w:t>
      </w:r>
      <w:r w:rsidR="00FD4534">
        <w:rPr>
          <w:rFonts w:cs="Arial"/>
        </w:rPr>
        <w:t xml:space="preserve"> for them to stay in their home and manage any rent arrears.</w:t>
      </w:r>
    </w:p>
    <w:p w14:paraId="78EFF24B" w14:textId="77777777" w:rsidR="0077339B" w:rsidRPr="0077339B" w:rsidRDefault="0077339B" w:rsidP="0077339B">
      <w:pPr>
        <w:pStyle w:val="ListParagraph"/>
        <w:numPr>
          <w:ilvl w:val="0"/>
          <w:numId w:val="40"/>
        </w:numPr>
        <w:rPr>
          <w:rFonts w:cs="Arial"/>
        </w:rPr>
      </w:pPr>
      <w:r w:rsidRPr="0077339B">
        <w:rPr>
          <w:rFonts w:cs="Arial"/>
        </w:rPr>
        <w:t xml:space="preserve">We track the rate of successful outcomes achieved for those the council owes a homelessness prevention duty to, with success being defined as the customer either being successfully supported to stay in their home, or moved to alternative accommodation. The target has been set at 55%, but we have exceeded this rate with 67% achieved so far this year. </w:t>
      </w:r>
    </w:p>
    <w:p w14:paraId="282F244E" w14:textId="77777777" w:rsidR="00D7709B" w:rsidRPr="00D7709B" w:rsidRDefault="00D7709B" w:rsidP="00D7709B">
      <w:pPr>
        <w:pStyle w:val="ListParagraph"/>
        <w:numPr>
          <w:ilvl w:val="0"/>
          <w:numId w:val="0"/>
        </w:numPr>
        <w:ind w:left="360"/>
        <w:rPr>
          <w:bCs/>
          <w:color w:val="auto"/>
        </w:rPr>
      </w:pPr>
    </w:p>
    <w:p w14:paraId="33907DF5" w14:textId="77777777" w:rsidR="00D7709B" w:rsidRPr="00D7709B" w:rsidRDefault="00D7709B" w:rsidP="00D7709B">
      <w:pPr>
        <w:rPr>
          <w:b/>
          <w:bCs/>
          <w:color w:val="auto"/>
        </w:rPr>
      </w:pPr>
      <w:r w:rsidRPr="00D7709B">
        <w:rPr>
          <w:b/>
          <w:bCs/>
          <w:color w:val="auto"/>
        </w:rPr>
        <w:t>Affordable Development</w:t>
      </w:r>
    </w:p>
    <w:p w14:paraId="493CEDA1" w14:textId="6B63ADD0" w:rsidR="0077339B" w:rsidRDefault="0077339B" w:rsidP="0077339B">
      <w:pPr>
        <w:pStyle w:val="ListParagraph"/>
        <w:numPr>
          <w:ilvl w:val="0"/>
          <w:numId w:val="40"/>
        </w:numPr>
        <w:rPr>
          <w:rFonts w:cs="Arial"/>
        </w:rPr>
      </w:pPr>
      <w:r w:rsidRPr="0077339B">
        <w:rPr>
          <w:rFonts w:cs="Arial"/>
        </w:rPr>
        <w:t>A new corporate affordable housing development KPI was agreed for this financial year, setting a 4 year target of 1200 affordable homes delivered in the city by 24/25, and within this 750</w:t>
      </w:r>
      <w:r w:rsidR="004E4158">
        <w:rPr>
          <w:rFonts w:cs="Arial"/>
        </w:rPr>
        <w:t xml:space="preserve"> new homes let at a social rent. These targets are currently o</w:t>
      </w:r>
      <w:r w:rsidRPr="0077339B">
        <w:rPr>
          <w:rFonts w:cs="Arial"/>
        </w:rPr>
        <w:t>n track.</w:t>
      </w:r>
    </w:p>
    <w:p w14:paraId="41751A39" w14:textId="77777777" w:rsidR="0077339B" w:rsidRDefault="0077339B" w:rsidP="0077339B">
      <w:pPr>
        <w:pStyle w:val="ListParagraph"/>
        <w:numPr>
          <w:ilvl w:val="0"/>
          <w:numId w:val="40"/>
        </w:numPr>
        <w:rPr>
          <w:rFonts w:cs="Arial"/>
        </w:rPr>
      </w:pPr>
      <w:r w:rsidRPr="0077339B">
        <w:rPr>
          <w:rFonts w:cs="Arial"/>
        </w:rPr>
        <w:t xml:space="preserve">68 new affordable homes have been delivered in the city this financial year up until the end of Q2, including 67 social tenancies and 1 affordable rented tenancy. 27 homes were delivered within Q2, 21 at a social rent, 6 at an affordable rent. 26 were new builds, and there was 1 acquisition. </w:t>
      </w:r>
    </w:p>
    <w:p w14:paraId="447BC34A" w14:textId="77777777" w:rsidR="0077339B" w:rsidRDefault="0077339B" w:rsidP="0077339B">
      <w:pPr>
        <w:pStyle w:val="ListParagraph"/>
        <w:numPr>
          <w:ilvl w:val="0"/>
          <w:numId w:val="40"/>
        </w:numPr>
        <w:rPr>
          <w:rFonts w:cs="Arial"/>
        </w:rPr>
      </w:pPr>
      <w:r w:rsidRPr="0077339B">
        <w:rPr>
          <w:rFonts w:cs="Arial"/>
        </w:rPr>
        <w:t xml:space="preserve">OCHL is making good progress with the delivery of new homes. Delivery at Rose Hill has completed, with all shared ownership homes under offer. </w:t>
      </w:r>
      <w:proofErr w:type="spellStart"/>
      <w:r w:rsidRPr="0077339B">
        <w:rPr>
          <w:rFonts w:cs="Arial"/>
        </w:rPr>
        <w:t>Edgecombe</w:t>
      </w:r>
      <w:proofErr w:type="spellEnd"/>
      <w:r w:rsidRPr="0077339B">
        <w:rPr>
          <w:rFonts w:cs="Arial"/>
        </w:rPr>
        <w:t xml:space="preserve"> Road is almost complete, with work on track at Between Towns Road and </w:t>
      </w:r>
      <w:proofErr w:type="spellStart"/>
      <w:r w:rsidRPr="0077339B">
        <w:rPr>
          <w:rFonts w:cs="Arial"/>
        </w:rPr>
        <w:t>Cumberlege</w:t>
      </w:r>
      <w:proofErr w:type="spellEnd"/>
      <w:r w:rsidRPr="0077339B">
        <w:rPr>
          <w:rFonts w:cs="Arial"/>
        </w:rPr>
        <w:t xml:space="preserve"> and </w:t>
      </w:r>
      <w:proofErr w:type="spellStart"/>
      <w:r w:rsidRPr="0077339B">
        <w:rPr>
          <w:rFonts w:cs="Arial"/>
        </w:rPr>
        <w:t>Elsfield</w:t>
      </w:r>
      <w:proofErr w:type="spellEnd"/>
      <w:r w:rsidRPr="0077339B">
        <w:rPr>
          <w:rFonts w:cs="Arial"/>
        </w:rPr>
        <w:t>, despite issues at some sites with industry wide specialist materials shortages and statutory utilities connections. Phase 3 of Barton Park delivered its first 20 units in Q3 of this year.</w:t>
      </w:r>
    </w:p>
    <w:p w14:paraId="5AFFCBC4" w14:textId="77777777" w:rsidR="0077339B" w:rsidRPr="0077339B" w:rsidRDefault="0077339B" w:rsidP="0077339B">
      <w:pPr>
        <w:pStyle w:val="ListParagraph"/>
        <w:numPr>
          <w:ilvl w:val="0"/>
          <w:numId w:val="40"/>
        </w:numPr>
        <w:rPr>
          <w:rFonts w:cs="Arial"/>
        </w:rPr>
      </w:pPr>
      <w:r w:rsidRPr="0077339B">
        <w:rPr>
          <w:rFonts w:cs="Arial"/>
        </w:rPr>
        <w:t xml:space="preserve">Registered provides are also playing a key role in affordable housing delivery through some large sites, such as currently delivering at Barton Park, </w:t>
      </w:r>
      <w:proofErr w:type="spellStart"/>
      <w:r w:rsidRPr="0077339B">
        <w:rPr>
          <w:rFonts w:cs="Arial"/>
        </w:rPr>
        <w:t>Wovercote</w:t>
      </w:r>
      <w:proofErr w:type="spellEnd"/>
      <w:r w:rsidRPr="0077339B">
        <w:rPr>
          <w:rFonts w:cs="Arial"/>
        </w:rPr>
        <w:t xml:space="preserve"> Paper Mill, and William Morris Close – latter two of which are due to deliver in Q4 of this financial year.</w:t>
      </w:r>
    </w:p>
    <w:p w14:paraId="22390EE6" w14:textId="77777777" w:rsidR="00741C99" w:rsidRDefault="00741C99" w:rsidP="00741C99">
      <w:pPr>
        <w:rPr>
          <w:bCs/>
          <w:color w:val="auto"/>
        </w:rPr>
      </w:pPr>
    </w:p>
    <w:p w14:paraId="01FD483A" w14:textId="77777777" w:rsidR="00741C99" w:rsidRPr="00741C99" w:rsidRDefault="00741C99" w:rsidP="00741C99">
      <w:pPr>
        <w:rPr>
          <w:b/>
          <w:bCs/>
          <w:color w:val="auto"/>
        </w:rPr>
      </w:pPr>
      <w:r w:rsidRPr="00741C99">
        <w:rPr>
          <w:b/>
          <w:bCs/>
          <w:color w:val="auto"/>
        </w:rPr>
        <w:t>Council Owned Housing Stock</w:t>
      </w:r>
    </w:p>
    <w:p w14:paraId="660F39A9" w14:textId="703F65C0" w:rsidR="0077339B" w:rsidRPr="00E402BD" w:rsidRDefault="0077339B" w:rsidP="00E402BD">
      <w:pPr>
        <w:pStyle w:val="ListParagraph"/>
        <w:numPr>
          <w:ilvl w:val="0"/>
          <w:numId w:val="40"/>
        </w:numPr>
        <w:rPr>
          <w:rFonts w:cs="Arial"/>
        </w:rPr>
      </w:pPr>
      <w:r w:rsidRPr="0077339B">
        <w:rPr>
          <w:rFonts w:cs="Arial"/>
        </w:rPr>
        <w:lastRenderedPageBreak/>
        <w:t>Q2 has seen us continue to progress key work areas to further enhance our offer for tenants and invest in our council stock.</w:t>
      </w:r>
      <w:r w:rsidR="00E402BD">
        <w:rPr>
          <w:rFonts w:cs="Arial"/>
        </w:rPr>
        <w:t xml:space="preserve"> </w:t>
      </w:r>
      <w:r w:rsidRPr="00E402BD">
        <w:rPr>
          <w:rFonts w:cs="Arial"/>
        </w:rPr>
        <w:t>Q2 say the launch of new locality-based pilots in Barton and Blackbird Leys building on new ways of working developed through the pandemic response, increasingly working in ways that are joined up in the locality to inform future service development that we hope will deliver noticeable improvements for our tenants as well as other residents.</w:t>
      </w:r>
    </w:p>
    <w:p w14:paraId="7123EB39" w14:textId="77777777" w:rsidR="0077339B" w:rsidRDefault="0077339B" w:rsidP="0077339B">
      <w:pPr>
        <w:pStyle w:val="ListParagraph"/>
        <w:numPr>
          <w:ilvl w:val="0"/>
          <w:numId w:val="40"/>
        </w:numPr>
        <w:rPr>
          <w:rFonts w:cs="Arial"/>
        </w:rPr>
      </w:pPr>
      <w:r w:rsidRPr="0077339B">
        <w:rPr>
          <w:rFonts w:cs="Arial"/>
        </w:rPr>
        <w:t>We successfully dealt with issues arising following a bus crashing into houses on Morrel Avenue. We offered rehousing to those resident in the houses and have been carrying out repairs to the properties to enable the households to return to their homes.</w:t>
      </w:r>
    </w:p>
    <w:p w14:paraId="0A03D9F4" w14:textId="77777777" w:rsidR="0077339B" w:rsidRDefault="0077339B" w:rsidP="0077339B">
      <w:pPr>
        <w:pStyle w:val="ListParagraph"/>
        <w:numPr>
          <w:ilvl w:val="0"/>
          <w:numId w:val="40"/>
        </w:numPr>
        <w:rPr>
          <w:rFonts w:cs="Arial"/>
        </w:rPr>
      </w:pPr>
      <w:r w:rsidRPr="0077339B">
        <w:rPr>
          <w:rFonts w:cs="Arial"/>
        </w:rPr>
        <w:t xml:space="preserve">Following high winds at the end of October that resulted in cladding coming off </w:t>
      </w:r>
      <w:proofErr w:type="spellStart"/>
      <w:r w:rsidRPr="0077339B">
        <w:rPr>
          <w:rFonts w:cs="Arial"/>
        </w:rPr>
        <w:t>Evenlode</w:t>
      </w:r>
      <w:proofErr w:type="spellEnd"/>
      <w:r w:rsidRPr="0077339B">
        <w:rPr>
          <w:rFonts w:cs="Arial"/>
        </w:rPr>
        <w:t xml:space="preserve"> Tower in Blackbird Leys, we are now dealing with remedial work and checking cladding at all other tower blocks. We have also commissioned an independent technical investigation with a view to obtaining assurance regarding the quality of workmanship.   </w:t>
      </w:r>
    </w:p>
    <w:p w14:paraId="50CD1D03" w14:textId="77777777" w:rsidR="0077339B" w:rsidRPr="0077339B" w:rsidRDefault="0077339B" w:rsidP="0077339B">
      <w:pPr>
        <w:pStyle w:val="ListParagraph"/>
        <w:numPr>
          <w:ilvl w:val="0"/>
          <w:numId w:val="40"/>
        </w:numPr>
        <w:rPr>
          <w:rFonts w:cs="Arial"/>
        </w:rPr>
      </w:pPr>
      <w:r w:rsidRPr="0077339B">
        <w:rPr>
          <w:rFonts w:cs="Arial"/>
        </w:rPr>
        <w:t xml:space="preserve">Progress is being on this year’s target of 46% or fewer homes with lower than an EPC C, down from current baseline of 54%, supported by significant investment from the City Council. To support this we are in the process of bidding to the Social Housing Decarbonisation Fund for retrofitting work to current stock. This would be further to money already won this year from the LAD1b scheme to improve 240 homes, which is funding work such as loft and cavity wall insulation and heat pumps. The council is currently working through whole house assessments, identifying medium and long term improvements, including whole house retrofits. </w:t>
      </w:r>
    </w:p>
    <w:p w14:paraId="67DEDED8" w14:textId="77777777" w:rsidR="0077339B" w:rsidRPr="0077339B" w:rsidRDefault="0077339B" w:rsidP="0077339B">
      <w:pPr>
        <w:pStyle w:val="ListParagraph"/>
        <w:numPr>
          <w:ilvl w:val="0"/>
          <w:numId w:val="40"/>
        </w:numPr>
        <w:rPr>
          <w:rFonts w:cs="Arial"/>
        </w:rPr>
      </w:pPr>
      <w:r w:rsidRPr="0077339B">
        <w:rPr>
          <w:rFonts w:cs="Arial"/>
        </w:rPr>
        <w:t xml:space="preserve">We hope to report on void re-let times KPI at Q3, following improvements to reporting from our QL housing system. </w:t>
      </w:r>
    </w:p>
    <w:p w14:paraId="6C17EDBE" w14:textId="77777777" w:rsidR="00665B05" w:rsidRDefault="00665B05" w:rsidP="00665B05">
      <w:pPr>
        <w:rPr>
          <w:rFonts w:cs="Arial"/>
        </w:rPr>
      </w:pPr>
    </w:p>
    <w:p w14:paraId="6D0873BA" w14:textId="77777777" w:rsidR="00741C99" w:rsidRDefault="00665B05" w:rsidP="00741C99">
      <w:pPr>
        <w:rPr>
          <w:rFonts w:cs="Arial"/>
          <w:b/>
        </w:rPr>
      </w:pPr>
      <w:r w:rsidRPr="00665B05">
        <w:rPr>
          <w:rFonts w:cs="Arial"/>
          <w:b/>
        </w:rPr>
        <w:t>Rents</w:t>
      </w:r>
    </w:p>
    <w:p w14:paraId="784CA160" w14:textId="50C2BBAE" w:rsidR="0077339B" w:rsidRPr="0077339B" w:rsidRDefault="0077339B" w:rsidP="0077339B">
      <w:pPr>
        <w:pStyle w:val="ListParagraph"/>
        <w:numPr>
          <w:ilvl w:val="0"/>
          <w:numId w:val="40"/>
        </w:numPr>
        <w:rPr>
          <w:rFonts w:cs="Arial"/>
        </w:rPr>
      </w:pPr>
      <w:r w:rsidRPr="0077339B">
        <w:rPr>
          <w:rFonts w:cs="Arial"/>
        </w:rPr>
        <w:t xml:space="preserve">At the end of September 91.57% of rent had been collected against the target of 92.50%. Rent arrears stood at £1,435,788.67, compared to </w:t>
      </w:r>
      <w:r w:rsidRPr="0077339B">
        <w:rPr>
          <w:rFonts w:cs="Arial"/>
          <w:bCs/>
        </w:rPr>
        <w:t>£1,347,057.72</w:t>
      </w:r>
      <w:r w:rsidRPr="0077339B">
        <w:rPr>
          <w:rFonts w:cs="Arial"/>
        </w:rPr>
        <w:t xml:space="preserve"> at the same time last year. The arrears figure does not take into account any Direct Debit payments, </w:t>
      </w:r>
      <w:proofErr w:type="gramStart"/>
      <w:r w:rsidRPr="0077339B">
        <w:rPr>
          <w:rFonts w:cs="Arial"/>
        </w:rPr>
        <w:t>Direct</w:t>
      </w:r>
      <w:proofErr w:type="gramEnd"/>
      <w:r w:rsidRPr="0077339B">
        <w:rPr>
          <w:rFonts w:cs="Arial"/>
        </w:rPr>
        <w:t xml:space="preserve"> payments or any calculated regular payments to be made by tenants. Rent collection has been more challenging this year within the context of being unable to serve notice on tenants and therefore </w:t>
      </w:r>
      <w:r w:rsidR="003406AA">
        <w:rPr>
          <w:rFonts w:cs="Arial"/>
        </w:rPr>
        <w:t>action cannot</w:t>
      </w:r>
      <w:r w:rsidRPr="0077339B">
        <w:rPr>
          <w:rFonts w:cs="Arial"/>
        </w:rPr>
        <w:t xml:space="preserve"> be made on escalating accounts, alongside tenants being impacted by increasing cost of living, the UC cut and end of furlough. Internally the team has also seen the implementation of the QL system with attention given to resolve initial issues from rollout and getting staff experienced with the new system.</w:t>
      </w:r>
    </w:p>
    <w:p w14:paraId="2ED7D4FD" w14:textId="77777777" w:rsidR="0077339B" w:rsidRPr="0077339B" w:rsidRDefault="0077339B" w:rsidP="00741C99">
      <w:pPr>
        <w:rPr>
          <w:rFonts w:cs="Arial"/>
          <w:b/>
        </w:rPr>
      </w:pPr>
    </w:p>
    <w:p w14:paraId="2912C428" w14:textId="77777777" w:rsidR="0077339B" w:rsidRPr="004249B4" w:rsidRDefault="0077339B" w:rsidP="0077339B">
      <w:pPr>
        <w:rPr>
          <w:rFonts w:cs="Arial"/>
          <w:b/>
        </w:rPr>
      </w:pPr>
      <w:r w:rsidRPr="004249B4">
        <w:rPr>
          <w:rFonts w:cs="Arial"/>
          <w:b/>
        </w:rPr>
        <w:t xml:space="preserve">Repairs </w:t>
      </w:r>
    </w:p>
    <w:p w14:paraId="4FFBE8A1" w14:textId="43FFAF52" w:rsidR="0077339B" w:rsidRPr="0077339B" w:rsidRDefault="0077339B" w:rsidP="0077339B">
      <w:pPr>
        <w:pStyle w:val="ListParagraph"/>
        <w:numPr>
          <w:ilvl w:val="0"/>
          <w:numId w:val="40"/>
        </w:numPr>
        <w:rPr>
          <w:rFonts w:cs="Arial"/>
        </w:rPr>
      </w:pPr>
      <w:r w:rsidRPr="0077339B">
        <w:rPr>
          <w:rFonts w:cs="Arial"/>
        </w:rPr>
        <w:t>Unfortunately due to QL reporting issues we have been unable to supply repairs performance KPIs</w:t>
      </w:r>
      <w:r w:rsidR="003406AA">
        <w:rPr>
          <w:rFonts w:cs="Arial"/>
        </w:rPr>
        <w:t xml:space="preserve"> for</w:t>
      </w:r>
      <w:r w:rsidRPr="0077339B">
        <w:rPr>
          <w:rFonts w:cs="Arial"/>
        </w:rPr>
        <w:t xml:space="preserve"> this quarter. Work </w:t>
      </w:r>
      <w:r w:rsidR="003406AA">
        <w:rPr>
          <w:rFonts w:cs="Arial"/>
        </w:rPr>
        <w:t>has been</w:t>
      </w:r>
      <w:r w:rsidRPr="0077339B">
        <w:rPr>
          <w:rFonts w:cs="Arial"/>
        </w:rPr>
        <w:t xml:space="preserve"> underway</w:t>
      </w:r>
      <w:r w:rsidR="003406AA">
        <w:rPr>
          <w:rFonts w:cs="Arial"/>
        </w:rPr>
        <w:t xml:space="preserve"> to</w:t>
      </w:r>
      <w:r w:rsidRPr="0077339B">
        <w:rPr>
          <w:rFonts w:cs="Arial"/>
        </w:rPr>
        <w:t xml:space="preserve"> rectify this problem and </w:t>
      </w:r>
      <w:r w:rsidR="003406AA">
        <w:rPr>
          <w:rFonts w:cs="Arial"/>
        </w:rPr>
        <w:t>we will be able to provide an update for Q3.</w:t>
      </w:r>
    </w:p>
    <w:p w14:paraId="0E1847E0" w14:textId="77777777" w:rsidR="00741C99" w:rsidRPr="00741C99" w:rsidRDefault="00741C99" w:rsidP="00741C99">
      <w:pPr>
        <w:rPr>
          <w:rFonts w:cs="Arial"/>
          <w:b/>
        </w:rPr>
      </w:pPr>
    </w:p>
    <w:p w14:paraId="548A189E" w14:textId="77777777" w:rsidR="0077339B" w:rsidRDefault="0077339B" w:rsidP="0077339B">
      <w:pPr>
        <w:rPr>
          <w:rFonts w:cs="Arial"/>
          <w:b/>
        </w:rPr>
      </w:pPr>
      <w:r>
        <w:rPr>
          <w:rFonts w:cs="Arial"/>
          <w:b/>
        </w:rPr>
        <w:lastRenderedPageBreak/>
        <w:t>Social Housing White Paper – Tenant Satisfaction Measures update</w:t>
      </w:r>
    </w:p>
    <w:p w14:paraId="50DF40BC" w14:textId="42F5ABC3" w:rsidR="0077339B" w:rsidRDefault="0077339B" w:rsidP="0077339B">
      <w:pPr>
        <w:pStyle w:val="ListParagraph"/>
        <w:numPr>
          <w:ilvl w:val="0"/>
          <w:numId w:val="40"/>
        </w:numPr>
        <w:rPr>
          <w:rFonts w:cs="Arial"/>
        </w:rPr>
      </w:pPr>
      <w:r w:rsidRPr="0077339B">
        <w:rPr>
          <w:rFonts w:cs="Arial"/>
        </w:rPr>
        <w:t>The government social housing white paper has committed to a number of national changes to the regulation of social housing in order to increase landlord accountability for providing safe homes, quality services and treating residents with respect. As part of this the government proposes bringing in a number of new Tenant Satisfaction Measures all</w:t>
      </w:r>
      <w:r w:rsidR="003406AA">
        <w:rPr>
          <w:rFonts w:cs="Arial"/>
        </w:rPr>
        <w:t xml:space="preserve"> social</w:t>
      </w:r>
      <w:r w:rsidRPr="0077339B">
        <w:rPr>
          <w:rFonts w:cs="Arial"/>
        </w:rPr>
        <w:t xml:space="preserve"> landlords can be held accountable against in the future.</w:t>
      </w:r>
    </w:p>
    <w:p w14:paraId="1FC3563F" w14:textId="65CB42E9" w:rsidR="0077339B" w:rsidRDefault="0077339B" w:rsidP="0077339B">
      <w:pPr>
        <w:pStyle w:val="ListParagraph"/>
        <w:numPr>
          <w:ilvl w:val="0"/>
          <w:numId w:val="40"/>
        </w:numPr>
        <w:rPr>
          <w:rFonts w:cs="Arial"/>
        </w:rPr>
      </w:pPr>
      <w:r w:rsidRPr="0077339B">
        <w:rPr>
          <w:rFonts w:cs="Arial"/>
        </w:rPr>
        <w:t xml:space="preserve">Recent feedback from the Housing Panel has asked for this range of KPIs to be provided for the council owned housing stock as soon as possible, ahead of the national implementation which currently doesn’t have a go live date. In November (while these papers were being drafted) the Regulator of Social Housing announced that following earlier consultation with landlords and tenants they will be publishing the details of the proposed tenant satisfaction measures in early December and will go </w:t>
      </w:r>
      <w:r w:rsidR="003406AA">
        <w:rPr>
          <w:rFonts w:cs="Arial"/>
        </w:rPr>
        <w:t xml:space="preserve">out </w:t>
      </w:r>
      <w:r w:rsidRPr="0077339B">
        <w:rPr>
          <w:rFonts w:cs="Arial"/>
        </w:rPr>
        <w:t>to formal consultation.</w:t>
      </w:r>
    </w:p>
    <w:p w14:paraId="23D08295" w14:textId="663289B7" w:rsidR="0077339B" w:rsidRDefault="0077339B" w:rsidP="0077339B">
      <w:pPr>
        <w:pStyle w:val="ListParagraph"/>
        <w:numPr>
          <w:ilvl w:val="0"/>
          <w:numId w:val="40"/>
        </w:numPr>
        <w:rPr>
          <w:rFonts w:cs="Arial"/>
        </w:rPr>
      </w:pPr>
      <w:r w:rsidRPr="0077339B">
        <w:rPr>
          <w:rFonts w:cs="Arial"/>
        </w:rPr>
        <w:t>Therefore we will seek to supply</w:t>
      </w:r>
      <w:r w:rsidR="003406AA">
        <w:rPr>
          <w:rFonts w:cs="Arial"/>
        </w:rPr>
        <w:t xml:space="preserve"> </w:t>
      </w:r>
      <w:r w:rsidR="003F5569">
        <w:rPr>
          <w:rFonts w:cs="Arial"/>
        </w:rPr>
        <w:t>in the next quarterly performance report to</w:t>
      </w:r>
      <w:r w:rsidRPr="0077339B">
        <w:rPr>
          <w:rFonts w:cs="Arial"/>
        </w:rPr>
        <w:t xml:space="preserve"> the Housing Panel</w:t>
      </w:r>
      <w:r w:rsidR="003406AA">
        <w:rPr>
          <w:rFonts w:cs="Arial"/>
        </w:rPr>
        <w:t xml:space="preserve"> these KPIs</w:t>
      </w:r>
      <w:r w:rsidR="003F5569">
        <w:rPr>
          <w:rFonts w:cs="Arial"/>
        </w:rPr>
        <w:t xml:space="preserve"> in a dashboard form</w:t>
      </w:r>
      <w:r w:rsidR="003406AA">
        <w:rPr>
          <w:rFonts w:cs="Arial"/>
        </w:rPr>
        <w:t>,</w:t>
      </w:r>
      <w:r w:rsidRPr="0077339B">
        <w:rPr>
          <w:rFonts w:cs="Arial"/>
        </w:rPr>
        <w:t xml:space="preserve"> using </w:t>
      </w:r>
      <w:r w:rsidR="003406AA">
        <w:rPr>
          <w:rFonts w:cs="Arial"/>
        </w:rPr>
        <w:t>the new ones</w:t>
      </w:r>
      <w:r w:rsidRPr="0077339B">
        <w:rPr>
          <w:rFonts w:cs="Arial"/>
        </w:rPr>
        <w:t xml:space="preserve"> being published and consulted on in December by the regulator, with available data for the City Council’s housing stock and services. In the meantime officers will continue to progress the necessary changes to reporting mechanisms to be able to supply the data regularly in the future. </w:t>
      </w:r>
    </w:p>
    <w:p w14:paraId="112E63DA" w14:textId="77777777" w:rsidR="0077339B" w:rsidRPr="0077339B" w:rsidRDefault="0077339B" w:rsidP="0077339B">
      <w:pPr>
        <w:pStyle w:val="ListParagraph"/>
        <w:numPr>
          <w:ilvl w:val="0"/>
          <w:numId w:val="40"/>
        </w:numPr>
        <w:rPr>
          <w:rFonts w:cs="Arial"/>
        </w:rPr>
      </w:pPr>
      <w:r w:rsidRPr="0077339B">
        <w:rPr>
          <w:rFonts w:cs="Arial"/>
        </w:rPr>
        <w:t>The Council will engage with and respond to the regulators consultation on the draft KPIs, and welcomes any input and views from the Panel as part of this process.</w:t>
      </w:r>
    </w:p>
    <w:p w14:paraId="3BB94DE1" w14:textId="77777777" w:rsidR="00E847A6" w:rsidRPr="00E847A6" w:rsidRDefault="00E847A6" w:rsidP="00E847A6">
      <w:pPr>
        <w:pStyle w:val="ListParagraph"/>
        <w:numPr>
          <w:ilvl w:val="0"/>
          <w:numId w:val="0"/>
        </w:numPr>
        <w:ind w:left="360"/>
        <w:rPr>
          <w:bCs/>
        </w:rPr>
      </w:pPr>
    </w:p>
    <w:p w14:paraId="4EED869B" w14:textId="77777777" w:rsidR="00D35756" w:rsidRPr="00E847A6" w:rsidRDefault="009559D8" w:rsidP="00E847A6">
      <w:pPr>
        <w:rPr>
          <w:b/>
        </w:rPr>
      </w:pPr>
      <w:r w:rsidRPr="00E847A6">
        <w:rPr>
          <w:b/>
        </w:rPr>
        <w:t>Financial implications</w:t>
      </w:r>
    </w:p>
    <w:p w14:paraId="0951C84C" w14:textId="77777777" w:rsidR="00E847A6" w:rsidRDefault="006A7C4B" w:rsidP="0077339B">
      <w:pPr>
        <w:pStyle w:val="ListParagraph"/>
        <w:numPr>
          <w:ilvl w:val="0"/>
          <w:numId w:val="40"/>
        </w:numPr>
      </w:pPr>
      <w:r>
        <w:t>This is a report seeking to provide the panel with updates and requires no specific decision and so has no specific financial implications</w:t>
      </w:r>
      <w:r w:rsidR="004F260A" w:rsidRPr="0049066A">
        <w:t>.</w:t>
      </w:r>
    </w:p>
    <w:p w14:paraId="217DB2E0" w14:textId="77777777" w:rsidR="0040736F" w:rsidRPr="00E847A6" w:rsidRDefault="00DA614B" w:rsidP="00E847A6">
      <w:r w:rsidRPr="00E847A6">
        <w:rPr>
          <w:b/>
        </w:rPr>
        <w:t>Legal issues</w:t>
      </w:r>
    </w:p>
    <w:p w14:paraId="6E43F5BE" w14:textId="77777777" w:rsidR="0049066A" w:rsidRPr="0077339B" w:rsidRDefault="006A7C4B" w:rsidP="0077339B">
      <w:pPr>
        <w:pStyle w:val="ListParagraph"/>
        <w:numPr>
          <w:ilvl w:val="0"/>
          <w:numId w:val="40"/>
        </w:numPr>
        <w:rPr>
          <w:color w:val="auto"/>
        </w:rPr>
      </w:pPr>
      <w:r>
        <w:t>This is a report seeking to provide the panel with updates and requires no specific decision and so has no specific legal implications</w:t>
      </w:r>
      <w:r w:rsidR="0062121C" w:rsidRPr="0077339B">
        <w:rPr>
          <w:color w:val="auto"/>
        </w:rPr>
        <w:t>.</w:t>
      </w:r>
    </w:p>
    <w:p w14:paraId="403766F8" w14:textId="77777777" w:rsidR="002329CF" w:rsidRPr="00E847A6" w:rsidRDefault="002329CF" w:rsidP="00E847A6">
      <w:pPr>
        <w:rPr>
          <w:b/>
        </w:rPr>
      </w:pPr>
      <w:r w:rsidRPr="00E847A6">
        <w:rPr>
          <w:b/>
        </w:rPr>
        <w:t>Level of risk</w:t>
      </w:r>
    </w:p>
    <w:p w14:paraId="28761621" w14:textId="77777777" w:rsidR="00BC69A4" w:rsidRPr="0077339B" w:rsidRDefault="00256350" w:rsidP="0077339B">
      <w:pPr>
        <w:pStyle w:val="ListParagraph"/>
        <w:numPr>
          <w:ilvl w:val="0"/>
          <w:numId w:val="40"/>
        </w:numPr>
        <w:rPr>
          <w:color w:val="auto"/>
        </w:rPr>
      </w:pPr>
      <w:r w:rsidRPr="0077339B">
        <w:rPr>
          <w:color w:val="auto"/>
        </w:rPr>
        <w:t>All risk implications are covered in</w:t>
      </w:r>
      <w:r w:rsidR="0062121C" w:rsidRPr="0077339B">
        <w:rPr>
          <w:color w:val="auto"/>
        </w:rPr>
        <w:t xml:space="preserve"> the body of this report</w:t>
      </w:r>
      <w:r w:rsidRPr="0077339B">
        <w:rPr>
          <w:color w:val="auto"/>
        </w:rPr>
        <w:t>.</w:t>
      </w:r>
    </w:p>
    <w:p w14:paraId="553BC841" w14:textId="77777777" w:rsidR="002329CF" w:rsidRPr="004D3B4C"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4D3B4C" w:rsidRPr="004D3B4C" w14:paraId="3DA6B607"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7E3E67" w14:textId="77777777" w:rsidR="00E87F7A" w:rsidRPr="004D3B4C" w:rsidRDefault="00E87F7A" w:rsidP="00A46E98">
            <w:pPr>
              <w:rPr>
                <w:b/>
                <w:color w:val="auto"/>
              </w:rPr>
            </w:pPr>
            <w:r w:rsidRPr="004D3B4C">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32CD8A0" w14:textId="77777777" w:rsidR="00E87F7A" w:rsidRPr="004D3B4C" w:rsidRDefault="006A7C4B" w:rsidP="00A46E98">
            <w:pPr>
              <w:rPr>
                <w:color w:val="auto"/>
              </w:rPr>
            </w:pPr>
            <w:r>
              <w:rPr>
                <w:color w:val="auto"/>
              </w:rPr>
              <w:t>Richard Wood</w:t>
            </w:r>
          </w:p>
          <w:p w14:paraId="3A7F387C" w14:textId="77777777" w:rsidR="00256350" w:rsidRPr="004D3B4C" w:rsidRDefault="00256350" w:rsidP="00256350">
            <w:pPr>
              <w:rPr>
                <w:color w:val="auto"/>
              </w:rPr>
            </w:pPr>
          </w:p>
        </w:tc>
      </w:tr>
      <w:tr w:rsidR="004D3B4C" w:rsidRPr="004D3B4C" w14:paraId="5204B8FF"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FA2013C" w14:textId="77777777" w:rsidR="00E87F7A" w:rsidRPr="004D3B4C" w:rsidRDefault="00E87F7A" w:rsidP="00A46E98">
            <w:pPr>
              <w:rPr>
                <w:color w:val="auto"/>
              </w:rPr>
            </w:pPr>
            <w:r w:rsidRPr="004D3B4C">
              <w:rPr>
                <w:color w:val="auto"/>
              </w:rPr>
              <w:t>Job title</w:t>
            </w:r>
          </w:p>
        </w:tc>
        <w:tc>
          <w:tcPr>
            <w:tcW w:w="4962" w:type="dxa"/>
            <w:tcBorders>
              <w:top w:val="single" w:sz="8" w:space="0" w:color="000000"/>
              <w:left w:val="nil"/>
              <w:bottom w:val="nil"/>
              <w:right w:val="single" w:sz="8" w:space="0" w:color="000000"/>
            </w:tcBorders>
            <w:shd w:val="clear" w:color="auto" w:fill="auto"/>
          </w:tcPr>
          <w:p w14:paraId="45163AB5" w14:textId="77777777" w:rsidR="00E87F7A" w:rsidRPr="004D3B4C" w:rsidRDefault="006A7C4B" w:rsidP="00A46E98">
            <w:pPr>
              <w:rPr>
                <w:color w:val="auto"/>
              </w:rPr>
            </w:pPr>
            <w:r>
              <w:rPr>
                <w:color w:val="auto"/>
              </w:rPr>
              <w:t>Strategy and Service Development Manager</w:t>
            </w:r>
          </w:p>
          <w:p w14:paraId="00D6F86A" w14:textId="77777777" w:rsidR="00256350" w:rsidRPr="004D3B4C" w:rsidRDefault="00256350" w:rsidP="00A46E98">
            <w:pPr>
              <w:rPr>
                <w:color w:val="auto"/>
              </w:rPr>
            </w:pPr>
          </w:p>
        </w:tc>
      </w:tr>
      <w:tr w:rsidR="004D3B4C" w:rsidRPr="004D3B4C" w14:paraId="356F5B8B" w14:textId="77777777" w:rsidTr="00A46E98">
        <w:trPr>
          <w:cantSplit/>
          <w:trHeight w:val="396"/>
        </w:trPr>
        <w:tc>
          <w:tcPr>
            <w:tcW w:w="3969" w:type="dxa"/>
            <w:tcBorders>
              <w:top w:val="nil"/>
              <w:left w:val="single" w:sz="8" w:space="0" w:color="000000"/>
              <w:bottom w:val="nil"/>
              <w:right w:val="nil"/>
            </w:tcBorders>
            <w:shd w:val="clear" w:color="auto" w:fill="auto"/>
          </w:tcPr>
          <w:p w14:paraId="1A39FB36" w14:textId="77777777" w:rsidR="00E87F7A" w:rsidRPr="004D3B4C" w:rsidRDefault="00E87F7A" w:rsidP="00A46E98">
            <w:pPr>
              <w:rPr>
                <w:color w:val="auto"/>
              </w:rPr>
            </w:pPr>
            <w:r w:rsidRPr="004D3B4C">
              <w:rPr>
                <w:color w:val="auto"/>
              </w:rPr>
              <w:t>Service area or department</w:t>
            </w:r>
          </w:p>
        </w:tc>
        <w:tc>
          <w:tcPr>
            <w:tcW w:w="4962" w:type="dxa"/>
            <w:tcBorders>
              <w:top w:val="nil"/>
              <w:left w:val="nil"/>
              <w:bottom w:val="nil"/>
              <w:right w:val="single" w:sz="8" w:space="0" w:color="000000"/>
            </w:tcBorders>
            <w:shd w:val="clear" w:color="auto" w:fill="auto"/>
          </w:tcPr>
          <w:p w14:paraId="3D670D20" w14:textId="77777777" w:rsidR="00E87F7A" w:rsidRPr="004D3B4C" w:rsidRDefault="00E847A6" w:rsidP="00D35756">
            <w:pPr>
              <w:rPr>
                <w:color w:val="auto"/>
              </w:rPr>
            </w:pPr>
            <w:r>
              <w:rPr>
                <w:color w:val="auto"/>
              </w:rPr>
              <w:t>Housing Services</w:t>
            </w:r>
          </w:p>
        </w:tc>
      </w:tr>
      <w:tr w:rsidR="004D3B4C" w:rsidRPr="004D3B4C" w14:paraId="529BD404" w14:textId="77777777" w:rsidTr="00A46E98">
        <w:trPr>
          <w:cantSplit/>
          <w:trHeight w:val="396"/>
        </w:trPr>
        <w:tc>
          <w:tcPr>
            <w:tcW w:w="3969" w:type="dxa"/>
            <w:tcBorders>
              <w:top w:val="nil"/>
              <w:left w:val="single" w:sz="8" w:space="0" w:color="000000"/>
              <w:bottom w:val="nil"/>
              <w:right w:val="nil"/>
            </w:tcBorders>
            <w:shd w:val="clear" w:color="auto" w:fill="auto"/>
          </w:tcPr>
          <w:p w14:paraId="0C17B1F3" w14:textId="77777777" w:rsidR="00E87F7A" w:rsidRPr="004D3B4C" w:rsidRDefault="00E87F7A" w:rsidP="00A46E98">
            <w:pPr>
              <w:rPr>
                <w:color w:val="auto"/>
              </w:rPr>
            </w:pPr>
            <w:r w:rsidRPr="004D3B4C">
              <w:rPr>
                <w:color w:val="auto"/>
              </w:rPr>
              <w:t xml:space="preserve">Telephone </w:t>
            </w:r>
          </w:p>
        </w:tc>
        <w:tc>
          <w:tcPr>
            <w:tcW w:w="4962" w:type="dxa"/>
            <w:tcBorders>
              <w:top w:val="nil"/>
              <w:left w:val="nil"/>
              <w:bottom w:val="nil"/>
              <w:right w:val="single" w:sz="8" w:space="0" w:color="000000"/>
            </w:tcBorders>
            <w:shd w:val="clear" w:color="auto" w:fill="auto"/>
          </w:tcPr>
          <w:p w14:paraId="04127193" w14:textId="721F3B25" w:rsidR="00E87F7A" w:rsidRPr="004D3B4C" w:rsidRDefault="003F458C" w:rsidP="00256350">
            <w:pPr>
              <w:rPr>
                <w:color w:val="auto"/>
              </w:rPr>
            </w:pPr>
            <w:r>
              <w:rPr>
                <w:color w:val="auto"/>
              </w:rPr>
              <w:t>01865 25</w:t>
            </w:r>
            <w:r w:rsidR="0011193D">
              <w:rPr>
                <w:color w:val="auto"/>
              </w:rPr>
              <w:t>2</w:t>
            </w:r>
            <w:r w:rsidR="006A7C4B">
              <w:rPr>
                <w:color w:val="auto"/>
              </w:rPr>
              <w:t>002</w:t>
            </w:r>
          </w:p>
        </w:tc>
      </w:tr>
      <w:tr w:rsidR="003F4964" w:rsidRPr="004D3B4C" w14:paraId="081DABD9"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F217F76" w14:textId="77777777" w:rsidR="00E87F7A" w:rsidRPr="004D3B4C" w:rsidRDefault="00E87F7A" w:rsidP="00A46E98">
            <w:pPr>
              <w:rPr>
                <w:color w:val="auto"/>
              </w:rPr>
            </w:pPr>
            <w:r w:rsidRPr="004D3B4C">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03239BD3" w14:textId="77777777" w:rsidR="00E87F7A" w:rsidRPr="004D3B4C" w:rsidRDefault="006A7C4B" w:rsidP="00D35756">
            <w:pPr>
              <w:rPr>
                <w:rStyle w:val="Hyperlink"/>
                <w:color w:val="auto"/>
              </w:rPr>
            </w:pPr>
            <w:r>
              <w:t>rwood</w:t>
            </w:r>
            <w:hyperlink r:id="rId8" w:history="1">
              <w:r w:rsidR="00E847A6" w:rsidRPr="00367FA9">
                <w:rPr>
                  <w:rStyle w:val="Hyperlink"/>
                </w:rPr>
                <w:t>@oxford.gov.uk</w:t>
              </w:r>
            </w:hyperlink>
          </w:p>
        </w:tc>
      </w:tr>
    </w:tbl>
    <w:p w14:paraId="75564E2A" w14:textId="77777777" w:rsidR="00433B96" w:rsidRPr="004D3B4C"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4D3B4C" w:rsidRPr="004D3B4C" w14:paraId="59E91299"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B01AA25" w14:textId="77777777" w:rsidR="0093067A" w:rsidRPr="004D3B4C" w:rsidRDefault="00182B81" w:rsidP="00F41AC1">
            <w:pPr>
              <w:rPr>
                <w:color w:val="auto"/>
              </w:rPr>
            </w:pPr>
            <w:r w:rsidRPr="004D3B4C">
              <w:rPr>
                <w:rStyle w:val="Firstpagetablebold"/>
                <w:color w:val="auto"/>
              </w:rPr>
              <w:lastRenderedPageBreak/>
              <w:t xml:space="preserve">Background Papers: </w:t>
            </w:r>
            <w:r w:rsidRPr="004D3B4C">
              <w:rPr>
                <w:rStyle w:val="Firstpagetablebold"/>
                <w:b w:val="0"/>
                <w:color w:val="auto"/>
              </w:rPr>
              <w:t>None</w:t>
            </w:r>
          </w:p>
        </w:tc>
      </w:tr>
      <w:tr w:rsidR="003F4964" w:rsidRPr="004D3B4C" w14:paraId="707CC80A" w14:textId="77777777" w:rsidTr="00A46E98">
        <w:tc>
          <w:tcPr>
            <w:tcW w:w="567" w:type="dxa"/>
            <w:tcBorders>
              <w:top w:val="nil"/>
              <w:left w:val="single" w:sz="8" w:space="0" w:color="000000"/>
              <w:bottom w:val="single" w:sz="8" w:space="0" w:color="000000"/>
              <w:right w:val="nil"/>
            </w:tcBorders>
            <w:shd w:val="clear" w:color="auto" w:fill="auto"/>
          </w:tcPr>
          <w:p w14:paraId="5D7B6A85" w14:textId="77777777" w:rsidR="0093067A" w:rsidRPr="004D3B4C" w:rsidRDefault="0093067A" w:rsidP="00F41AC1">
            <w:pPr>
              <w:rPr>
                <w:color w:val="auto"/>
              </w:rPr>
            </w:pPr>
          </w:p>
        </w:tc>
        <w:tc>
          <w:tcPr>
            <w:tcW w:w="8364" w:type="dxa"/>
            <w:tcBorders>
              <w:top w:val="nil"/>
              <w:left w:val="nil"/>
              <w:bottom w:val="single" w:sz="8" w:space="0" w:color="000000"/>
              <w:right w:val="single" w:sz="8" w:space="0" w:color="000000"/>
            </w:tcBorders>
          </w:tcPr>
          <w:p w14:paraId="62B26295" w14:textId="77777777" w:rsidR="0093067A" w:rsidRPr="004D3B4C" w:rsidRDefault="0093067A" w:rsidP="00F41AC1">
            <w:pPr>
              <w:rPr>
                <w:color w:val="auto"/>
              </w:rPr>
            </w:pPr>
          </w:p>
        </w:tc>
      </w:tr>
    </w:tbl>
    <w:p w14:paraId="7E1326A2" w14:textId="77777777" w:rsidR="00CE4C87" w:rsidRPr="004D3B4C" w:rsidRDefault="00CE4C87" w:rsidP="0093067A">
      <w:pPr>
        <w:rPr>
          <w:color w:val="auto"/>
        </w:rPr>
      </w:pPr>
    </w:p>
    <w:p w14:paraId="3FBE108F" w14:textId="77777777" w:rsidR="00934E6B" w:rsidRPr="004D3B4C" w:rsidRDefault="00934E6B">
      <w:pPr>
        <w:rPr>
          <w:color w:val="auto"/>
        </w:rPr>
      </w:pPr>
    </w:p>
    <w:p w14:paraId="798E1397" w14:textId="77777777" w:rsidR="00087FA8" w:rsidRPr="004D3B4C" w:rsidRDefault="00087FA8">
      <w:pPr>
        <w:rPr>
          <w:color w:val="auto"/>
        </w:rPr>
      </w:pPr>
    </w:p>
    <w:sectPr w:rsidR="00087FA8" w:rsidRPr="004D3B4C" w:rsidSect="00BC20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C2606" w16cid:durableId="247C69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952DD" w14:textId="77777777" w:rsidR="00B60AC4" w:rsidRDefault="00B60AC4" w:rsidP="004A6D2F">
      <w:r>
        <w:separator/>
      </w:r>
    </w:p>
  </w:endnote>
  <w:endnote w:type="continuationSeparator" w:id="0">
    <w:p w14:paraId="62075253" w14:textId="77777777" w:rsidR="00B60AC4" w:rsidRDefault="00B60AC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7CD1B" w14:textId="77777777" w:rsidR="004A3EAE" w:rsidRDefault="004A3EAE" w:rsidP="004A6D2F">
    <w:pPr>
      <w:pStyle w:val="Footer"/>
    </w:pPr>
    <w:r>
      <w:t>Do not use a footer or page numbers.</w:t>
    </w:r>
  </w:p>
  <w:p w14:paraId="30843ECE" w14:textId="77777777" w:rsidR="004A3EAE" w:rsidRDefault="004A3EAE" w:rsidP="004A6D2F">
    <w:pPr>
      <w:pStyle w:val="Footer"/>
    </w:pPr>
  </w:p>
  <w:p w14:paraId="5C6A2EF0" w14:textId="77777777"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9EAC" w14:textId="77777777" w:rsidR="00B87F19" w:rsidRDefault="00B87F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766E7" w14:textId="77777777"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EE3B" w14:textId="77777777" w:rsidR="00B60AC4" w:rsidRDefault="00B60AC4" w:rsidP="004A6D2F">
      <w:r>
        <w:separator/>
      </w:r>
    </w:p>
  </w:footnote>
  <w:footnote w:type="continuationSeparator" w:id="0">
    <w:p w14:paraId="2818F9A4" w14:textId="77777777" w:rsidR="00B60AC4" w:rsidRDefault="00B60AC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8BD9" w14:textId="77777777" w:rsidR="00B87F19" w:rsidRDefault="00B87F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8D30" w14:textId="77777777" w:rsidR="00B87F19" w:rsidRDefault="00B87F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4951" w14:textId="77777777" w:rsidR="004A3EAE" w:rsidRDefault="00434D16" w:rsidP="00D5547E">
    <w:pPr>
      <w:pStyle w:val="Header"/>
      <w:jc w:val="right"/>
    </w:pPr>
    <w:r>
      <w:rPr>
        <w:noProof/>
      </w:rPr>
      <w:drawing>
        <wp:inline distT="0" distB="0" distL="0" distR="0" wp14:anchorId="2F9E23C4" wp14:editId="60CEDCDC">
          <wp:extent cx="835025" cy="1113155"/>
          <wp:effectExtent l="0" t="0" r="3175" b="4445"/>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13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3A2"/>
    <w:multiLevelType w:val="hybridMultilevel"/>
    <w:tmpl w:val="14E4CBDA"/>
    <w:lvl w:ilvl="0" w:tplc="839C8594">
      <w:start w:val="10"/>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07147"/>
    <w:multiLevelType w:val="hybridMultilevel"/>
    <w:tmpl w:val="FBD8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90153"/>
    <w:multiLevelType w:val="hybridMultilevel"/>
    <w:tmpl w:val="12DCDB5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C30BB"/>
    <w:multiLevelType w:val="multilevel"/>
    <w:tmpl w:val="E67CE66C"/>
    <w:styleLink w:val="StyleNumberedLeft0cmHanging075cm"/>
    <w:lvl w:ilvl="0">
      <w:start w:val="1"/>
      <w:numFmt w:val="decimal"/>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F11CB"/>
    <w:multiLevelType w:val="hybridMultilevel"/>
    <w:tmpl w:val="FADA251E"/>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9B1065C"/>
    <w:multiLevelType w:val="hybridMultilevel"/>
    <w:tmpl w:val="29E6E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B73B4"/>
    <w:multiLevelType w:val="hybridMultilevel"/>
    <w:tmpl w:val="15CC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963AA2"/>
    <w:multiLevelType w:val="hybridMultilevel"/>
    <w:tmpl w:val="28C2EAEE"/>
    <w:lvl w:ilvl="0" w:tplc="D398F5FA">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3A45C8"/>
    <w:multiLevelType w:val="hybridMultilevel"/>
    <w:tmpl w:val="91F28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2E3A5E"/>
    <w:multiLevelType w:val="hybridMultilevel"/>
    <w:tmpl w:val="EB0E37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F3E6C25"/>
    <w:multiLevelType w:val="hybridMultilevel"/>
    <w:tmpl w:val="401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F1844"/>
    <w:multiLevelType w:val="hybridMultilevel"/>
    <w:tmpl w:val="5F7CB0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0803696"/>
    <w:multiLevelType w:val="multilevel"/>
    <w:tmpl w:val="919EE390"/>
    <w:lvl w:ilvl="0">
      <w:start w:val="1"/>
      <w:numFmt w:val="bullet"/>
      <w:lvlText w:val=""/>
      <w:lvlJc w:val="left"/>
      <w:pPr>
        <w:ind w:left="643"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5865C4C"/>
    <w:multiLevelType w:val="hybridMultilevel"/>
    <w:tmpl w:val="3C20F4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125748"/>
    <w:multiLevelType w:val="hybridMultilevel"/>
    <w:tmpl w:val="374A7F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1D132203"/>
    <w:multiLevelType w:val="hybridMultilevel"/>
    <w:tmpl w:val="009CB428"/>
    <w:lvl w:ilvl="0" w:tplc="8300FCC8">
      <w:numFmt w:val="bullet"/>
      <w:lvlText w:val=""/>
      <w:lvlJc w:val="left"/>
      <w:pPr>
        <w:ind w:left="930" w:hanging="57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57735"/>
    <w:multiLevelType w:val="hybridMultilevel"/>
    <w:tmpl w:val="DDC8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AF64E1"/>
    <w:multiLevelType w:val="hybridMultilevel"/>
    <w:tmpl w:val="90081412"/>
    <w:lvl w:ilvl="0" w:tplc="EABCEB10">
      <w:start w:val="9"/>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27A91"/>
    <w:multiLevelType w:val="hybridMultilevel"/>
    <w:tmpl w:val="2AD0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5B1C7F"/>
    <w:multiLevelType w:val="hybridMultilevel"/>
    <w:tmpl w:val="D1B4A638"/>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2" w15:restartNumberingAfterBreak="0">
    <w:nsid w:val="3A811E88"/>
    <w:multiLevelType w:val="hybridMultilevel"/>
    <w:tmpl w:val="CBC25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A46B1F"/>
    <w:multiLevelType w:val="hybridMultilevel"/>
    <w:tmpl w:val="958C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B1E3D"/>
    <w:multiLevelType w:val="hybridMultilevel"/>
    <w:tmpl w:val="7E3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931F0"/>
    <w:multiLevelType w:val="hybridMultilevel"/>
    <w:tmpl w:val="04B85FC4"/>
    <w:lvl w:ilvl="0" w:tplc="94D68206">
      <w:start w:val="6"/>
      <w:numFmt w:val="decimal"/>
      <w:lvlText w:val="%1."/>
      <w:lvlJc w:val="left"/>
      <w:pPr>
        <w:ind w:left="786"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2F1623"/>
    <w:multiLevelType w:val="hybridMultilevel"/>
    <w:tmpl w:val="EC368C1C"/>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7" w15:restartNumberingAfterBreak="0">
    <w:nsid w:val="482E4E3B"/>
    <w:multiLevelType w:val="hybridMultilevel"/>
    <w:tmpl w:val="A9D85204"/>
    <w:lvl w:ilvl="0" w:tplc="022218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25441"/>
    <w:multiLevelType w:val="multilevel"/>
    <w:tmpl w:val="32429174"/>
    <w:lvl w:ilvl="0">
      <w:start w:val="1"/>
      <w:numFmt w:val="decimal"/>
      <w:lvlText w:val="%1."/>
      <w:lvlJc w:val="left"/>
      <w:pPr>
        <w:ind w:left="360"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AE49C4"/>
    <w:multiLevelType w:val="hybridMultilevel"/>
    <w:tmpl w:val="3FFCFD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4CA110F"/>
    <w:multiLevelType w:val="hybridMultilevel"/>
    <w:tmpl w:val="27240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F697A93"/>
    <w:multiLevelType w:val="hybridMultilevel"/>
    <w:tmpl w:val="708653E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FF74C0A"/>
    <w:multiLevelType w:val="hybridMultilevel"/>
    <w:tmpl w:val="E36EA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AB3D90"/>
    <w:multiLevelType w:val="hybridMultilevel"/>
    <w:tmpl w:val="6824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33CAB"/>
    <w:multiLevelType w:val="hybridMultilevel"/>
    <w:tmpl w:val="660EA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B6C21"/>
    <w:multiLevelType w:val="hybridMultilevel"/>
    <w:tmpl w:val="EE6C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904D9"/>
    <w:multiLevelType w:val="hybridMultilevel"/>
    <w:tmpl w:val="2E607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F20058"/>
    <w:multiLevelType w:val="hybridMultilevel"/>
    <w:tmpl w:val="AA0ACA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6C873CC0"/>
    <w:multiLevelType w:val="hybridMultilevel"/>
    <w:tmpl w:val="C1E6491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6E6F6BE9"/>
    <w:multiLevelType w:val="hybridMultilevel"/>
    <w:tmpl w:val="106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42EFF"/>
    <w:multiLevelType w:val="hybridMultilevel"/>
    <w:tmpl w:val="3350F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8365C6"/>
    <w:multiLevelType w:val="multilevel"/>
    <w:tmpl w:val="BB2AD32E"/>
    <w:lvl w:ilvl="0">
      <w:start w:val="2"/>
      <w:numFmt w:val="decimal"/>
      <w:pStyle w:val="ListParagraph"/>
      <w:lvlText w:val="%1."/>
      <w:lvlJc w:val="left"/>
      <w:pPr>
        <w:ind w:left="786"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A531E04"/>
    <w:multiLevelType w:val="hybridMultilevel"/>
    <w:tmpl w:val="86DAC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F58A1"/>
    <w:multiLevelType w:val="hybridMultilevel"/>
    <w:tmpl w:val="C054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2"/>
  </w:num>
  <w:num w:numId="3">
    <w:abstractNumId w:val="18"/>
  </w:num>
  <w:num w:numId="4">
    <w:abstractNumId w:val="4"/>
  </w:num>
  <w:num w:numId="5">
    <w:abstractNumId w:val="37"/>
  </w:num>
  <w:num w:numId="6">
    <w:abstractNumId w:val="2"/>
  </w:num>
  <w:num w:numId="7">
    <w:abstractNumId w:val="28"/>
  </w:num>
  <w:num w:numId="8">
    <w:abstractNumId w:val="16"/>
  </w:num>
  <w:num w:numId="9">
    <w:abstractNumId w:val="24"/>
  </w:num>
  <w:num w:numId="10">
    <w:abstractNumId w:val="13"/>
  </w:num>
  <w:num w:numId="11">
    <w:abstractNumId w:val="11"/>
  </w:num>
  <w:num w:numId="12">
    <w:abstractNumId w:val="5"/>
  </w:num>
  <w:num w:numId="13">
    <w:abstractNumId w:val="26"/>
  </w:num>
  <w:num w:numId="14">
    <w:abstractNumId w:val="29"/>
  </w:num>
  <w:num w:numId="15">
    <w:abstractNumId w:val="30"/>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8"/>
  </w:num>
  <w:num w:numId="23">
    <w:abstractNumId w:val="23"/>
  </w:num>
  <w:num w:numId="24">
    <w:abstractNumId w:val="6"/>
  </w:num>
  <w:num w:numId="25">
    <w:abstractNumId w:val="44"/>
  </w:num>
  <w:num w:numId="26">
    <w:abstractNumId w:val="17"/>
  </w:num>
  <w:num w:numId="27">
    <w:abstractNumId w:val="27"/>
  </w:num>
  <w:num w:numId="28">
    <w:abstractNumId w:val="40"/>
  </w:num>
  <w:num w:numId="29">
    <w:abstractNumId w:val="21"/>
  </w:num>
  <w:num w:numId="30">
    <w:abstractNumId w:val="43"/>
  </w:num>
  <w:num w:numId="31">
    <w:abstractNumId w:val="14"/>
  </w:num>
  <w:num w:numId="32">
    <w:abstractNumId w:val="36"/>
  </w:num>
  <w:num w:numId="33">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3"/>
  </w:num>
  <w:num w:numId="37">
    <w:abstractNumId w:val="22"/>
  </w:num>
  <w:num w:numId="38">
    <w:abstractNumId w:val="41"/>
  </w:num>
  <w:num w:numId="39">
    <w:abstractNumId w:val="34"/>
  </w:num>
  <w:num w:numId="40">
    <w:abstractNumId w:val="20"/>
  </w:num>
  <w:num w:numId="41">
    <w:abstractNumId w:val="7"/>
  </w:num>
  <w:num w:numId="42">
    <w:abstractNumId w:val="1"/>
  </w:num>
  <w:num w:numId="43">
    <w:abstractNumId w:val="35"/>
  </w:num>
  <w:num w:numId="44">
    <w:abstractNumId w:val="9"/>
  </w:num>
  <w:num w:numId="45">
    <w:abstractNumId w:val="31"/>
  </w:num>
  <w:num w:numId="46">
    <w:abstractNumId w:val="39"/>
  </w:num>
  <w:num w:numId="47">
    <w:abstractNumId w:val="10"/>
  </w:num>
  <w:num w:numId="4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F30"/>
    <w:rsid w:val="00005E14"/>
    <w:rsid w:val="00007464"/>
    <w:rsid w:val="000117D4"/>
    <w:rsid w:val="000119EC"/>
    <w:rsid w:val="000202F2"/>
    <w:rsid w:val="00021313"/>
    <w:rsid w:val="000238E9"/>
    <w:rsid w:val="00024EF5"/>
    <w:rsid w:val="00030BDD"/>
    <w:rsid w:val="000314D7"/>
    <w:rsid w:val="00033248"/>
    <w:rsid w:val="00034DFA"/>
    <w:rsid w:val="000415F8"/>
    <w:rsid w:val="00041770"/>
    <w:rsid w:val="00044A94"/>
    <w:rsid w:val="00045CFD"/>
    <w:rsid w:val="00045F8B"/>
    <w:rsid w:val="00046D2B"/>
    <w:rsid w:val="00047B56"/>
    <w:rsid w:val="0005299B"/>
    <w:rsid w:val="00052F57"/>
    <w:rsid w:val="0005443F"/>
    <w:rsid w:val="00055009"/>
    <w:rsid w:val="00056263"/>
    <w:rsid w:val="00056B8F"/>
    <w:rsid w:val="00060092"/>
    <w:rsid w:val="00062CA2"/>
    <w:rsid w:val="00063A0F"/>
    <w:rsid w:val="00064D8A"/>
    <w:rsid w:val="00064F82"/>
    <w:rsid w:val="00066510"/>
    <w:rsid w:val="00070E1A"/>
    <w:rsid w:val="0007293F"/>
    <w:rsid w:val="00073CC5"/>
    <w:rsid w:val="000753A8"/>
    <w:rsid w:val="00076268"/>
    <w:rsid w:val="0007692D"/>
    <w:rsid w:val="00077523"/>
    <w:rsid w:val="000776FF"/>
    <w:rsid w:val="000811A3"/>
    <w:rsid w:val="00081E30"/>
    <w:rsid w:val="000838DB"/>
    <w:rsid w:val="00085B72"/>
    <w:rsid w:val="00085F4A"/>
    <w:rsid w:val="00087FA8"/>
    <w:rsid w:val="0009130F"/>
    <w:rsid w:val="000917F9"/>
    <w:rsid w:val="00092163"/>
    <w:rsid w:val="00093353"/>
    <w:rsid w:val="00096070"/>
    <w:rsid w:val="000A00A3"/>
    <w:rsid w:val="000A026F"/>
    <w:rsid w:val="000A56BE"/>
    <w:rsid w:val="000A5F1F"/>
    <w:rsid w:val="000B5D37"/>
    <w:rsid w:val="000B6726"/>
    <w:rsid w:val="000B6A77"/>
    <w:rsid w:val="000B6C3C"/>
    <w:rsid w:val="000C089F"/>
    <w:rsid w:val="000C1A15"/>
    <w:rsid w:val="000C35CD"/>
    <w:rsid w:val="000C3928"/>
    <w:rsid w:val="000C3FBC"/>
    <w:rsid w:val="000C4C93"/>
    <w:rsid w:val="000C5E8E"/>
    <w:rsid w:val="000C6280"/>
    <w:rsid w:val="000D16EF"/>
    <w:rsid w:val="000D5378"/>
    <w:rsid w:val="000D6E10"/>
    <w:rsid w:val="000D7112"/>
    <w:rsid w:val="000D7AB6"/>
    <w:rsid w:val="000E0057"/>
    <w:rsid w:val="000E0560"/>
    <w:rsid w:val="000E0892"/>
    <w:rsid w:val="000E4222"/>
    <w:rsid w:val="000E6150"/>
    <w:rsid w:val="000E6801"/>
    <w:rsid w:val="000F1E93"/>
    <w:rsid w:val="000F2A7A"/>
    <w:rsid w:val="000F3585"/>
    <w:rsid w:val="000F44CC"/>
    <w:rsid w:val="000F4751"/>
    <w:rsid w:val="000F4EBE"/>
    <w:rsid w:val="00100B3F"/>
    <w:rsid w:val="001015BA"/>
    <w:rsid w:val="00103EAA"/>
    <w:rsid w:val="0010524C"/>
    <w:rsid w:val="0010611D"/>
    <w:rsid w:val="00106E1A"/>
    <w:rsid w:val="001103A9"/>
    <w:rsid w:val="0011193D"/>
    <w:rsid w:val="001119CD"/>
    <w:rsid w:val="00111FB1"/>
    <w:rsid w:val="001121C1"/>
    <w:rsid w:val="0011233D"/>
    <w:rsid w:val="0011263A"/>
    <w:rsid w:val="00113418"/>
    <w:rsid w:val="00117FD9"/>
    <w:rsid w:val="00120699"/>
    <w:rsid w:val="00121043"/>
    <w:rsid w:val="00123524"/>
    <w:rsid w:val="00124CD2"/>
    <w:rsid w:val="001318CF"/>
    <w:rsid w:val="00133FFA"/>
    <w:rsid w:val="001356F1"/>
    <w:rsid w:val="00136994"/>
    <w:rsid w:val="00136EB8"/>
    <w:rsid w:val="00136FB7"/>
    <w:rsid w:val="00140E06"/>
    <w:rsid w:val="0014128E"/>
    <w:rsid w:val="00141634"/>
    <w:rsid w:val="00147810"/>
    <w:rsid w:val="001479C1"/>
    <w:rsid w:val="00151888"/>
    <w:rsid w:val="0015241C"/>
    <w:rsid w:val="001531B9"/>
    <w:rsid w:val="00153496"/>
    <w:rsid w:val="00153515"/>
    <w:rsid w:val="00155948"/>
    <w:rsid w:val="00156074"/>
    <w:rsid w:val="00160BAB"/>
    <w:rsid w:val="00162B63"/>
    <w:rsid w:val="001650C2"/>
    <w:rsid w:val="00165DB6"/>
    <w:rsid w:val="001665D8"/>
    <w:rsid w:val="0017015E"/>
    <w:rsid w:val="001705FE"/>
    <w:rsid w:val="00170A2D"/>
    <w:rsid w:val="00170D87"/>
    <w:rsid w:val="00172D62"/>
    <w:rsid w:val="001757B4"/>
    <w:rsid w:val="00177372"/>
    <w:rsid w:val="001808BC"/>
    <w:rsid w:val="0018147F"/>
    <w:rsid w:val="00182B81"/>
    <w:rsid w:val="001860E6"/>
    <w:rsid w:val="0018619D"/>
    <w:rsid w:val="001866BD"/>
    <w:rsid w:val="00187084"/>
    <w:rsid w:val="00187D58"/>
    <w:rsid w:val="0019019C"/>
    <w:rsid w:val="001944A2"/>
    <w:rsid w:val="0019563E"/>
    <w:rsid w:val="00195CA7"/>
    <w:rsid w:val="00195CED"/>
    <w:rsid w:val="00197786"/>
    <w:rsid w:val="001A011E"/>
    <w:rsid w:val="001A066A"/>
    <w:rsid w:val="001A13E6"/>
    <w:rsid w:val="001A4DDB"/>
    <w:rsid w:val="001A5731"/>
    <w:rsid w:val="001A60BF"/>
    <w:rsid w:val="001A7448"/>
    <w:rsid w:val="001B0394"/>
    <w:rsid w:val="001B42C3"/>
    <w:rsid w:val="001B57C2"/>
    <w:rsid w:val="001C0E6C"/>
    <w:rsid w:val="001C1E83"/>
    <w:rsid w:val="001C5D5E"/>
    <w:rsid w:val="001D228B"/>
    <w:rsid w:val="001D522C"/>
    <w:rsid w:val="001D678D"/>
    <w:rsid w:val="001D6B95"/>
    <w:rsid w:val="001D7960"/>
    <w:rsid w:val="001E03B7"/>
    <w:rsid w:val="001E03F8"/>
    <w:rsid w:val="001E1678"/>
    <w:rsid w:val="001E3376"/>
    <w:rsid w:val="001E373D"/>
    <w:rsid w:val="001E54EC"/>
    <w:rsid w:val="001E5C62"/>
    <w:rsid w:val="001E5C87"/>
    <w:rsid w:val="001E7AFD"/>
    <w:rsid w:val="001F04F3"/>
    <w:rsid w:val="001F073F"/>
    <w:rsid w:val="001F2192"/>
    <w:rsid w:val="001F4DC6"/>
    <w:rsid w:val="00200787"/>
    <w:rsid w:val="002018CC"/>
    <w:rsid w:val="00205EF0"/>
    <w:rsid w:val="00206053"/>
    <w:rsid w:val="002069B3"/>
    <w:rsid w:val="00206B28"/>
    <w:rsid w:val="0021127E"/>
    <w:rsid w:val="00211440"/>
    <w:rsid w:val="002118D6"/>
    <w:rsid w:val="00213A89"/>
    <w:rsid w:val="00215DC1"/>
    <w:rsid w:val="00216AA4"/>
    <w:rsid w:val="00216D87"/>
    <w:rsid w:val="00217CBC"/>
    <w:rsid w:val="00217D91"/>
    <w:rsid w:val="00221C73"/>
    <w:rsid w:val="00223D22"/>
    <w:rsid w:val="00224C93"/>
    <w:rsid w:val="002255C7"/>
    <w:rsid w:val="002256CA"/>
    <w:rsid w:val="00225A4F"/>
    <w:rsid w:val="00226CEB"/>
    <w:rsid w:val="002301B9"/>
    <w:rsid w:val="00230D26"/>
    <w:rsid w:val="002329CF"/>
    <w:rsid w:val="00232F5B"/>
    <w:rsid w:val="00233A3B"/>
    <w:rsid w:val="0024230D"/>
    <w:rsid w:val="002440AD"/>
    <w:rsid w:val="00244FEC"/>
    <w:rsid w:val="00246CCD"/>
    <w:rsid w:val="00247C29"/>
    <w:rsid w:val="00250D64"/>
    <w:rsid w:val="00251369"/>
    <w:rsid w:val="00251FE4"/>
    <w:rsid w:val="00254C37"/>
    <w:rsid w:val="00255E80"/>
    <w:rsid w:val="00256350"/>
    <w:rsid w:val="00260467"/>
    <w:rsid w:val="00261D35"/>
    <w:rsid w:val="00263EA3"/>
    <w:rsid w:val="00265217"/>
    <w:rsid w:val="00265BB1"/>
    <w:rsid w:val="0026625F"/>
    <w:rsid w:val="002665C2"/>
    <w:rsid w:val="00276646"/>
    <w:rsid w:val="002778C0"/>
    <w:rsid w:val="0028004E"/>
    <w:rsid w:val="00284F85"/>
    <w:rsid w:val="00285D6F"/>
    <w:rsid w:val="002873F1"/>
    <w:rsid w:val="00287776"/>
    <w:rsid w:val="00287FB6"/>
    <w:rsid w:val="00290540"/>
    <w:rsid w:val="00290915"/>
    <w:rsid w:val="00290D91"/>
    <w:rsid w:val="00292C57"/>
    <w:rsid w:val="00293B26"/>
    <w:rsid w:val="00295C19"/>
    <w:rsid w:val="0029717F"/>
    <w:rsid w:val="00297FB0"/>
    <w:rsid w:val="002A15EC"/>
    <w:rsid w:val="002A22E2"/>
    <w:rsid w:val="002A3543"/>
    <w:rsid w:val="002A5423"/>
    <w:rsid w:val="002A5FEB"/>
    <w:rsid w:val="002A6BE1"/>
    <w:rsid w:val="002A7109"/>
    <w:rsid w:val="002B3A96"/>
    <w:rsid w:val="002C3627"/>
    <w:rsid w:val="002C45FC"/>
    <w:rsid w:val="002C556E"/>
    <w:rsid w:val="002C64F7"/>
    <w:rsid w:val="002C7D93"/>
    <w:rsid w:val="002D0090"/>
    <w:rsid w:val="002D3DE5"/>
    <w:rsid w:val="002D5C14"/>
    <w:rsid w:val="002D6C9D"/>
    <w:rsid w:val="002E0A00"/>
    <w:rsid w:val="002E1770"/>
    <w:rsid w:val="002E17FE"/>
    <w:rsid w:val="002E3561"/>
    <w:rsid w:val="002E3728"/>
    <w:rsid w:val="002E4F99"/>
    <w:rsid w:val="002E66A3"/>
    <w:rsid w:val="002E704C"/>
    <w:rsid w:val="002F0E22"/>
    <w:rsid w:val="002F180B"/>
    <w:rsid w:val="002F41F2"/>
    <w:rsid w:val="002F4BF3"/>
    <w:rsid w:val="00301BF3"/>
    <w:rsid w:val="0030208D"/>
    <w:rsid w:val="003025E1"/>
    <w:rsid w:val="00304AD6"/>
    <w:rsid w:val="00307EE2"/>
    <w:rsid w:val="003209BA"/>
    <w:rsid w:val="00323418"/>
    <w:rsid w:val="00324B36"/>
    <w:rsid w:val="00326BD3"/>
    <w:rsid w:val="003301E7"/>
    <w:rsid w:val="00333AD9"/>
    <w:rsid w:val="0033417C"/>
    <w:rsid w:val="003357BF"/>
    <w:rsid w:val="00340275"/>
    <w:rsid w:val="003406AA"/>
    <w:rsid w:val="003418CD"/>
    <w:rsid w:val="003428A9"/>
    <w:rsid w:val="00343DA0"/>
    <w:rsid w:val="00344FBB"/>
    <w:rsid w:val="003450F2"/>
    <w:rsid w:val="0035702E"/>
    <w:rsid w:val="00360AA3"/>
    <w:rsid w:val="00362247"/>
    <w:rsid w:val="0036290C"/>
    <w:rsid w:val="0036436B"/>
    <w:rsid w:val="00364FAD"/>
    <w:rsid w:val="00366DD9"/>
    <w:rsid w:val="0036738F"/>
    <w:rsid w:val="0036759C"/>
    <w:rsid w:val="00367AE5"/>
    <w:rsid w:val="00367D71"/>
    <w:rsid w:val="003709AA"/>
    <w:rsid w:val="0037202D"/>
    <w:rsid w:val="00372F59"/>
    <w:rsid w:val="003745E0"/>
    <w:rsid w:val="00380E84"/>
    <w:rsid w:val="0038150A"/>
    <w:rsid w:val="00381DF8"/>
    <w:rsid w:val="003853B7"/>
    <w:rsid w:val="00386CF0"/>
    <w:rsid w:val="00390138"/>
    <w:rsid w:val="00390CA8"/>
    <w:rsid w:val="003911D0"/>
    <w:rsid w:val="0039198D"/>
    <w:rsid w:val="00393379"/>
    <w:rsid w:val="003936BA"/>
    <w:rsid w:val="00395F98"/>
    <w:rsid w:val="0039720B"/>
    <w:rsid w:val="003974D3"/>
    <w:rsid w:val="003A35E7"/>
    <w:rsid w:val="003A55C4"/>
    <w:rsid w:val="003A74EF"/>
    <w:rsid w:val="003B31C6"/>
    <w:rsid w:val="003B6E75"/>
    <w:rsid w:val="003B7DA1"/>
    <w:rsid w:val="003C0094"/>
    <w:rsid w:val="003C05C0"/>
    <w:rsid w:val="003C1E3B"/>
    <w:rsid w:val="003C2117"/>
    <w:rsid w:val="003C2354"/>
    <w:rsid w:val="003C27C4"/>
    <w:rsid w:val="003C3612"/>
    <w:rsid w:val="003C3B62"/>
    <w:rsid w:val="003C5241"/>
    <w:rsid w:val="003C619C"/>
    <w:rsid w:val="003D0379"/>
    <w:rsid w:val="003D1D47"/>
    <w:rsid w:val="003D2574"/>
    <w:rsid w:val="003D4C59"/>
    <w:rsid w:val="003D70E3"/>
    <w:rsid w:val="003E19A9"/>
    <w:rsid w:val="003E4A69"/>
    <w:rsid w:val="003E74D0"/>
    <w:rsid w:val="003E75E2"/>
    <w:rsid w:val="003F2106"/>
    <w:rsid w:val="003F2397"/>
    <w:rsid w:val="003F333F"/>
    <w:rsid w:val="003F4136"/>
    <w:rsid w:val="003F4267"/>
    <w:rsid w:val="003F44B1"/>
    <w:rsid w:val="003F458C"/>
    <w:rsid w:val="003F4964"/>
    <w:rsid w:val="003F4EC5"/>
    <w:rsid w:val="003F50F9"/>
    <w:rsid w:val="003F5569"/>
    <w:rsid w:val="003F7042"/>
    <w:rsid w:val="003F710E"/>
    <w:rsid w:val="00404032"/>
    <w:rsid w:val="0040736F"/>
    <w:rsid w:val="00407BA5"/>
    <w:rsid w:val="004101A3"/>
    <w:rsid w:val="00412C1F"/>
    <w:rsid w:val="00413512"/>
    <w:rsid w:val="004169B8"/>
    <w:rsid w:val="004205AA"/>
    <w:rsid w:val="00420868"/>
    <w:rsid w:val="00421CB2"/>
    <w:rsid w:val="004227AD"/>
    <w:rsid w:val="0042669C"/>
    <w:rsid w:val="004268B9"/>
    <w:rsid w:val="0042754C"/>
    <w:rsid w:val="00430F6F"/>
    <w:rsid w:val="00431551"/>
    <w:rsid w:val="00433283"/>
    <w:rsid w:val="004332E4"/>
    <w:rsid w:val="00433B96"/>
    <w:rsid w:val="00434790"/>
    <w:rsid w:val="00434D16"/>
    <w:rsid w:val="00441210"/>
    <w:rsid w:val="0044355A"/>
    <w:rsid w:val="004440F1"/>
    <w:rsid w:val="004455BC"/>
    <w:rsid w:val="004456DD"/>
    <w:rsid w:val="00446085"/>
    <w:rsid w:val="00446CDF"/>
    <w:rsid w:val="00446FCC"/>
    <w:rsid w:val="00451FB4"/>
    <w:rsid w:val="004521B7"/>
    <w:rsid w:val="00452C2E"/>
    <w:rsid w:val="00454B18"/>
    <w:rsid w:val="004560CC"/>
    <w:rsid w:val="0045613A"/>
    <w:rsid w:val="0045731F"/>
    <w:rsid w:val="00457CEF"/>
    <w:rsid w:val="004604CB"/>
    <w:rsid w:val="00462AB5"/>
    <w:rsid w:val="00465EAF"/>
    <w:rsid w:val="00471421"/>
    <w:rsid w:val="0047252D"/>
    <w:rsid w:val="0047351F"/>
    <w:rsid w:val="004738C5"/>
    <w:rsid w:val="004768FC"/>
    <w:rsid w:val="00477871"/>
    <w:rsid w:val="00477A97"/>
    <w:rsid w:val="00480B15"/>
    <w:rsid w:val="00484780"/>
    <w:rsid w:val="0048526E"/>
    <w:rsid w:val="00487A8A"/>
    <w:rsid w:val="0049066A"/>
    <w:rsid w:val="00490996"/>
    <w:rsid w:val="00491046"/>
    <w:rsid w:val="0049449D"/>
    <w:rsid w:val="004945B4"/>
    <w:rsid w:val="0049617B"/>
    <w:rsid w:val="00497A27"/>
    <w:rsid w:val="004A2AC7"/>
    <w:rsid w:val="004A3EAE"/>
    <w:rsid w:val="004A631A"/>
    <w:rsid w:val="004A6D2F"/>
    <w:rsid w:val="004B2089"/>
    <w:rsid w:val="004B5708"/>
    <w:rsid w:val="004B6807"/>
    <w:rsid w:val="004B6F4D"/>
    <w:rsid w:val="004B7BD3"/>
    <w:rsid w:val="004C195A"/>
    <w:rsid w:val="004C2887"/>
    <w:rsid w:val="004C3624"/>
    <w:rsid w:val="004C6918"/>
    <w:rsid w:val="004C69F1"/>
    <w:rsid w:val="004C6F45"/>
    <w:rsid w:val="004D0FD0"/>
    <w:rsid w:val="004D1B2B"/>
    <w:rsid w:val="004D2626"/>
    <w:rsid w:val="004D3B4C"/>
    <w:rsid w:val="004D58C5"/>
    <w:rsid w:val="004D5D7A"/>
    <w:rsid w:val="004D6E26"/>
    <w:rsid w:val="004D73C5"/>
    <w:rsid w:val="004D77D3"/>
    <w:rsid w:val="004E02EA"/>
    <w:rsid w:val="004E070A"/>
    <w:rsid w:val="004E27A6"/>
    <w:rsid w:val="004E288C"/>
    <w:rsid w:val="004E2959"/>
    <w:rsid w:val="004E4158"/>
    <w:rsid w:val="004F09E4"/>
    <w:rsid w:val="004F20EF"/>
    <w:rsid w:val="004F260A"/>
    <w:rsid w:val="004F7AF1"/>
    <w:rsid w:val="00502033"/>
    <w:rsid w:val="0050321C"/>
    <w:rsid w:val="00504986"/>
    <w:rsid w:val="00511D41"/>
    <w:rsid w:val="00512F4E"/>
    <w:rsid w:val="005139CE"/>
    <w:rsid w:val="00523C1C"/>
    <w:rsid w:val="00524E1F"/>
    <w:rsid w:val="00525C5B"/>
    <w:rsid w:val="00526949"/>
    <w:rsid w:val="0052783B"/>
    <w:rsid w:val="005300D5"/>
    <w:rsid w:val="00536537"/>
    <w:rsid w:val="005367B7"/>
    <w:rsid w:val="00536A53"/>
    <w:rsid w:val="005417BF"/>
    <w:rsid w:val="005422B3"/>
    <w:rsid w:val="0054712D"/>
    <w:rsid w:val="00547EF6"/>
    <w:rsid w:val="0055120B"/>
    <w:rsid w:val="005518E4"/>
    <w:rsid w:val="005525EC"/>
    <w:rsid w:val="00556458"/>
    <w:rsid w:val="005570B5"/>
    <w:rsid w:val="005571E3"/>
    <w:rsid w:val="00557303"/>
    <w:rsid w:val="005603CD"/>
    <w:rsid w:val="005611B8"/>
    <w:rsid w:val="005671FE"/>
    <w:rsid w:val="00567E18"/>
    <w:rsid w:val="00571969"/>
    <w:rsid w:val="00572110"/>
    <w:rsid w:val="00575F5F"/>
    <w:rsid w:val="00581805"/>
    <w:rsid w:val="005818C8"/>
    <w:rsid w:val="00585F76"/>
    <w:rsid w:val="0058744D"/>
    <w:rsid w:val="00594AE5"/>
    <w:rsid w:val="00597100"/>
    <w:rsid w:val="005A022D"/>
    <w:rsid w:val="005A059B"/>
    <w:rsid w:val="005A1535"/>
    <w:rsid w:val="005A34E4"/>
    <w:rsid w:val="005A3D65"/>
    <w:rsid w:val="005A7A7A"/>
    <w:rsid w:val="005B17F2"/>
    <w:rsid w:val="005B215D"/>
    <w:rsid w:val="005B264D"/>
    <w:rsid w:val="005B55EF"/>
    <w:rsid w:val="005B57F2"/>
    <w:rsid w:val="005B7FB0"/>
    <w:rsid w:val="005C0A03"/>
    <w:rsid w:val="005C1127"/>
    <w:rsid w:val="005C35A5"/>
    <w:rsid w:val="005C447B"/>
    <w:rsid w:val="005C577C"/>
    <w:rsid w:val="005D0621"/>
    <w:rsid w:val="005D09F7"/>
    <w:rsid w:val="005D1E27"/>
    <w:rsid w:val="005D2444"/>
    <w:rsid w:val="005D2A3E"/>
    <w:rsid w:val="005D4BE4"/>
    <w:rsid w:val="005D58A0"/>
    <w:rsid w:val="005D6268"/>
    <w:rsid w:val="005D76D6"/>
    <w:rsid w:val="005E022E"/>
    <w:rsid w:val="005E288E"/>
    <w:rsid w:val="005E5215"/>
    <w:rsid w:val="005E6A9E"/>
    <w:rsid w:val="005E7AF6"/>
    <w:rsid w:val="005E7F4B"/>
    <w:rsid w:val="005F3275"/>
    <w:rsid w:val="005F6C06"/>
    <w:rsid w:val="005F7E60"/>
    <w:rsid w:val="005F7F7E"/>
    <w:rsid w:val="00603608"/>
    <w:rsid w:val="00604162"/>
    <w:rsid w:val="00604A65"/>
    <w:rsid w:val="00604B4C"/>
    <w:rsid w:val="0060572C"/>
    <w:rsid w:val="00614693"/>
    <w:rsid w:val="00614AE0"/>
    <w:rsid w:val="00614D6B"/>
    <w:rsid w:val="006151ED"/>
    <w:rsid w:val="0062121C"/>
    <w:rsid w:val="0062244A"/>
    <w:rsid w:val="00623418"/>
    <w:rsid w:val="00623C2F"/>
    <w:rsid w:val="006248D8"/>
    <w:rsid w:val="00624C75"/>
    <w:rsid w:val="0062626A"/>
    <w:rsid w:val="00627684"/>
    <w:rsid w:val="00627D0F"/>
    <w:rsid w:val="00630B28"/>
    <w:rsid w:val="0063229F"/>
    <w:rsid w:val="00633578"/>
    <w:rsid w:val="00633EEC"/>
    <w:rsid w:val="00633F36"/>
    <w:rsid w:val="0063499F"/>
    <w:rsid w:val="006357FD"/>
    <w:rsid w:val="00637068"/>
    <w:rsid w:val="00637694"/>
    <w:rsid w:val="00640B28"/>
    <w:rsid w:val="0064625F"/>
    <w:rsid w:val="0064756A"/>
    <w:rsid w:val="00650642"/>
    <w:rsid w:val="00650811"/>
    <w:rsid w:val="00650BC9"/>
    <w:rsid w:val="00650C99"/>
    <w:rsid w:val="00656353"/>
    <w:rsid w:val="006600DC"/>
    <w:rsid w:val="006600EF"/>
    <w:rsid w:val="00660A77"/>
    <w:rsid w:val="00660B15"/>
    <w:rsid w:val="00661D3E"/>
    <w:rsid w:val="00665B05"/>
    <w:rsid w:val="0067298D"/>
    <w:rsid w:val="00673910"/>
    <w:rsid w:val="00675219"/>
    <w:rsid w:val="00676725"/>
    <w:rsid w:val="00684EE2"/>
    <w:rsid w:val="00690696"/>
    <w:rsid w:val="00692627"/>
    <w:rsid w:val="006927FE"/>
    <w:rsid w:val="006947AB"/>
    <w:rsid w:val="006947CC"/>
    <w:rsid w:val="00695DEE"/>
    <w:rsid w:val="0069653D"/>
    <w:rsid w:val="006969E7"/>
    <w:rsid w:val="00697F1B"/>
    <w:rsid w:val="00697F53"/>
    <w:rsid w:val="006A03DC"/>
    <w:rsid w:val="006A3643"/>
    <w:rsid w:val="006A7C4B"/>
    <w:rsid w:val="006B3B55"/>
    <w:rsid w:val="006B3EBB"/>
    <w:rsid w:val="006B6D32"/>
    <w:rsid w:val="006B6ED9"/>
    <w:rsid w:val="006B7532"/>
    <w:rsid w:val="006B79D4"/>
    <w:rsid w:val="006B7B01"/>
    <w:rsid w:val="006B7F04"/>
    <w:rsid w:val="006C2A29"/>
    <w:rsid w:val="006C3440"/>
    <w:rsid w:val="006C483B"/>
    <w:rsid w:val="006C64CF"/>
    <w:rsid w:val="006C6A27"/>
    <w:rsid w:val="006D0615"/>
    <w:rsid w:val="006D17B1"/>
    <w:rsid w:val="006D1FD7"/>
    <w:rsid w:val="006D4752"/>
    <w:rsid w:val="006D486C"/>
    <w:rsid w:val="006D4DF4"/>
    <w:rsid w:val="006D4FA4"/>
    <w:rsid w:val="006D708A"/>
    <w:rsid w:val="006E0B2A"/>
    <w:rsid w:val="006E14C1"/>
    <w:rsid w:val="006E2CD5"/>
    <w:rsid w:val="006E4B8F"/>
    <w:rsid w:val="006E57B1"/>
    <w:rsid w:val="006E68D7"/>
    <w:rsid w:val="006E7937"/>
    <w:rsid w:val="006F0292"/>
    <w:rsid w:val="006F27FA"/>
    <w:rsid w:val="006F36C9"/>
    <w:rsid w:val="006F416B"/>
    <w:rsid w:val="006F4377"/>
    <w:rsid w:val="006F4D93"/>
    <w:rsid w:val="006F519B"/>
    <w:rsid w:val="006F6DC5"/>
    <w:rsid w:val="006F7366"/>
    <w:rsid w:val="006F7CC4"/>
    <w:rsid w:val="00702A18"/>
    <w:rsid w:val="00703A6A"/>
    <w:rsid w:val="00703F5D"/>
    <w:rsid w:val="00704453"/>
    <w:rsid w:val="007114CD"/>
    <w:rsid w:val="00712664"/>
    <w:rsid w:val="00713241"/>
    <w:rsid w:val="00713675"/>
    <w:rsid w:val="00715823"/>
    <w:rsid w:val="00717CF8"/>
    <w:rsid w:val="007201B8"/>
    <w:rsid w:val="00722C3E"/>
    <w:rsid w:val="007244F2"/>
    <w:rsid w:val="00727723"/>
    <w:rsid w:val="0073065E"/>
    <w:rsid w:val="007333C3"/>
    <w:rsid w:val="00737B93"/>
    <w:rsid w:val="0074109C"/>
    <w:rsid w:val="00741C99"/>
    <w:rsid w:val="0074211E"/>
    <w:rsid w:val="00745BF0"/>
    <w:rsid w:val="00746E7C"/>
    <w:rsid w:val="0075545F"/>
    <w:rsid w:val="00756358"/>
    <w:rsid w:val="0075664A"/>
    <w:rsid w:val="007615FE"/>
    <w:rsid w:val="00761E43"/>
    <w:rsid w:val="0076287E"/>
    <w:rsid w:val="00763052"/>
    <w:rsid w:val="00763928"/>
    <w:rsid w:val="00764912"/>
    <w:rsid w:val="0076655C"/>
    <w:rsid w:val="0077339B"/>
    <w:rsid w:val="00773D35"/>
    <w:rsid w:val="00773F4F"/>
    <w:rsid w:val="007742DC"/>
    <w:rsid w:val="00775283"/>
    <w:rsid w:val="007760B6"/>
    <w:rsid w:val="00777397"/>
    <w:rsid w:val="0078327B"/>
    <w:rsid w:val="007839B9"/>
    <w:rsid w:val="00784171"/>
    <w:rsid w:val="00784884"/>
    <w:rsid w:val="00786691"/>
    <w:rsid w:val="007872A9"/>
    <w:rsid w:val="007907D7"/>
    <w:rsid w:val="00791437"/>
    <w:rsid w:val="0079321F"/>
    <w:rsid w:val="00796FEE"/>
    <w:rsid w:val="007A5D71"/>
    <w:rsid w:val="007A7638"/>
    <w:rsid w:val="007B0C2C"/>
    <w:rsid w:val="007B0F89"/>
    <w:rsid w:val="007B12FE"/>
    <w:rsid w:val="007B2188"/>
    <w:rsid w:val="007B278E"/>
    <w:rsid w:val="007B4395"/>
    <w:rsid w:val="007B5FF6"/>
    <w:rsid w:val="007C0580"/>
    <w:rsid w:val="007C282E"/>
    <w:rsid w:val="007C2E3C"/>
    <w:rsid w:val="007C4000"/>
    <w:rsid w:val="007C42D2"/>
    <w:rsid w:val="007C51F2"/>
    <w:rsid w:val="007C5C23"/>
    <w:rsid w:val="007D0E8B"/>
    <w:rsid w:val="007D154E"/>
    <w:rsid w:val="007D1829"/>
    <w:rsid w:val="007D2F26"/>
    <w:rsid w:val="007D3AC2"/>
    <w:rsid w:val="007D5A7F"/>
    <w:rsid w:val="007D5AC3"/>
    <w:rsid w:val="007E0F4C"/>
    <w:rsid w:val="007E28E1"/>
    <w:rsid w:val="007E2A26"/>
    <w:rsid w:val="007E64F0"/>
    <w:rsid w:val="007E7D96"/>
    <w:rsid w:val="007E7DC2"/>
    <w:rsid w:val="007F2348"/>
    <w:rsid w:val="007F4328"/>
    <w:rsid w:val="007F454B"/>
    <w:rsid w:val="007F74E6"/>
    <w:rsid w:val="00803F07"/>
    <w:rsid w:val="008050A5"/>
    <w:rsid w:val="0080749A"/>
    <w:rsid w:val="008074F3"/>
    <w:rsid w:val="008077DD"/>
    <w:rsid w:val="00814689"/>
    <w:rsid w:val="008159AF"/>
    <w:rsid w:val="008161BB"/>
    <w:rsid w:val="00817308"/>
    <w:rsid w:val="00817482"/>
    <w:rsid w:val="00821FB8"/>
    <w:rsid w:val="00822ACD"/>
    <w:rsid w:val="008336DC"/>
    <w:rsid w:val="0083382B"/>
    <w:rsid w:val="00836AE5"/>
    <w:rsid w:val="00840B2F"/>
    <w:rsid w:val="00843591"/>
    <w:rsid w:val="0084531E"/>
    <w:rsid w:val="008516F4"/>
    <w:rsid w:val="00854074"/>
    <w:rsid w:val="00855C66"/>
    <w:rsid w:val="008575E2"/>
    <w:rsid w:val="00860C96"/>
    <w:rsid w:val="00864061"/>
    <w:rsid w:val="008679B6"/>
    <w:rsid w:val="00871C32"/>
    <w:rsid w:val="00871EE4"/>
    <w:rsid w:val="00874FA2"/>
    <w:rsid w:val="00875823"/>
    <w:rsid w:val="00876831"/>
    <w:rsid w:val="00883215"/>
    <w:rsid w:val="00883BD0"/>
    <w:rsid w:val="0088458C"/>
    <w:rsid w:val="00884F2C"/>
    <w:rsid w:val="00885E16"/>
    <w:rsid w:val="00886F33"/>
    <w:rsid w:val="00891372"/>
    <w:rsid w:val="0089175C"/>
    <w:rsid w:val="0089212D"/>
    <w:rsid w:val="00896532"/>
    <w:rsid w:val="00896A9E"/>
    <w:rsid w:val="008A15F8"/>
    <w:rsid w:val="008A339B"/>
    <w:rsid w:val="008B1387"/>
    <w:rsid w:val="008B293F"/>
    <w:rsid w:val="008B305E"/>
    <w:rsid w:val="008B372B"/>
    <w:rsid w:val="008B4023"/>
    <w:rsid w:val="008B6745"/>
    <w:rsid w:val="008B7371"/>
    <w:rsid w:val="008B769E"/>
    <w:rsid w:val="008C2114"/>
    <w:rsid w:val="008C36DE"/>
    <w:rsid w:val="008C3B7A"/>
    <w:rsid w:val="008D0B20"/>
    <w:rsid w:val="008D131E"/>
    <w:rsid w:val="008D1A3C"/>
    <w:rsid w:val="008D3DDB"/>
    <w:rsid w:val="008D3FE6"/>
    <w:rsid w:val="008D5B32"/>
    <w:rsid w:val="008E28E4"/>
    <w:rsid w:val="008F094F"/>
    <w:rsid w:val="008F2876"/>
    <w:rsid w:val="008F370B"/>
    <w:rsid w:val="008F3DD3"/>
    <w:rsid w:val="008F573F"/>
    <w:rsid w:val="008F5939"/>
    <w:rsid w:val="008F6E30"/>
    <w:rsid w:val="008F7357"/>
    <w:rsid w:val="009033DA"/>
    <w:rsid w:val="009034EC"/>
    <w:rsid w:val="00903D0B"/>
    <w:rsid w:val="00905148"/>
    <w:rsid w:val="00907BDE"/>
    <w:rsid w:val="00910E25"/>
    <w:rsid w:val="00911B00"/>
    <w:rsid w:val="00912200"/>
    <w:rsid w:val="009150B3"/>
    <w:rsid w:val="00916A6C"/>
    <w:rsid w:val="009208BD"/>
    <w:rsid w:val="009210B1"/>
    <w:rsid w:val="009212B2"/>
    <w:rsid w:val="009227CE"/>
    <w:rsid w:val="00923390"/>
    <w:rsid w:val="00927355"/>
    <w:rsid w:val="0093067A"/>
    <w:rsid w:val="00930B99"/>
    <w:rsid w:val="0093437E"/>
    <w:rsid w:val="00934D30"/>
    <w:rsid w:val="00934E6B"/>
    <w:rsid w:val="009367F2"/>
    <w:rsid w:val="009370F6"/>
    <w:rsid w:val="009372F1"/>
    <w:rsid w:val="0094198E"/>
    <w:rsid w:val="00941C60"/>
    <w:rsid w:val="00942C78"/>
    <w:rsid w:val="009450D3"/>
    <w:rsid w:val="00946452"/>
    <w:rsid w:val="009464E4"/>
    <w:rsid w:val="00946A7E"/>
    <w:rsid w:val="0095091F"/>
    <w:rsid w:val="00951DEB"/>
    <w:rsid w:val="00953287"/>
    <w:rsid w:val="00953A87"/>
    <w:rsid w:val="009559D8"/>
    <w:rsid w:val="00956A10"/>
    <w:rsid w:val="00957365"/>
    <w:rsid w:val="00964010"/>
    <w:rsid w:val="00964187"/>
    <w:rsid w:val="00965C9C"/>
    <w:rsid w:val="00965E39"/>
    <w:rsid w:val="0096639D"/>
    <w:rsid w:val="00966D42"/>
    <w:rsid w:val="00966F41"/>
    <w:rsid w:val="00971689"/>
    <w:rsid w:val="00971754"/>
    <w:rsid w:val="00973A76"/>
    <w:rsid w:val="00973E90"/>
    <w:rsid w:val="00975B07"/>
    <w:rsid w:val="00980B4A"/>
    <w:rsid w:val="00980D6B"/>
    <w:rsid w:val="00990D52"/>
    <w:rsid w:val="00993F40"/>
    <w:rsid w:val="009961D5"/>
    <w:rsid w:val="0099724D"/>
    <w:rsid w:val="009A0407"/>
    <w:rsid w:val="009A1D16"/>
    <w:rsid w:val="009A2E0A"/>
    <w:rsid w:val="009A54E8"/>
    <w:rsid w:val="009A6F8A"/>
    <w:rsid w:val="009B0200"/>
    <w:rsid w:val="009B0344"/>
    <w:rsid w:val="009B11F3"/>
    <w:rsid w:val="009B381B"/>
    <w:rsid w:val="009B4BFF"/>
    <w:rsid w:val="009B589B"/>
    <w:rsid w:val="009B6167"/>
    <w:rsid w:val="009B6D80"/>
    <w:rsid w:val="009B7F93"/>
    <w:rsid w:val="009C0CE9"/>
    <w:rsid w:val="009C13D4"/>
    <w:rsid w:val="009C2EF5"/>
    <w:rsid w:val="009C409F"/>
    <w:rsid w:val="009D275F"/>
    <w:rsid w:val="009D4197"/>
    <w:rsid w:val="009D6A02"/>
    <w:rsid w:val="009D7094"/>
    <w:rsid w:val="009D7B8B"/>
    <w:rsid w:val="009E1E1D"/>
    <w:rsid w:val="009E3D0A"/>
    <w:rsid w:val="009E47A0"/>
    <w:rsid w:val="009E4858"/>
    <w:rsid w:val="009E51FC"/>
    <w:rsid w:val="009F1D28"/>
    <w:rsid w:val="009F48C5"/>
    <w:rsid w:val="009F6EEC"/>
    <w:rsid w:val="009F7618"/>
    <w:rsid w:val="00A0088F"/>
    <w:rsid w:val="00A01420"/>
    <w:rsid w:val="00A021CB"/>
    <w:rsid w:val="00A02C6C"/>
    <w:rsid w:val="00A04D23"/>
    <w:rsid w:val="00A06766"/>
    <w:rsid w:val="00A13765"/>
    <w:rsid w:val="00A13B37"/>
    <w:rsid w:val="00A14021"/>
    <w:rsid w:val="00A17BAD"/>
    <w:rsid w:val="00A21B12"/>
    <w:rsid w:val="00A23CB8"/>
    <w:rsid w:val="00A23F80"/>
    <w:rsid w:val="00A36624"/>
    <w:rsid w:val="00A40E02"/>
    <w:rsid w:val="00A40EFD"/>
    <w:rsid w:val="00A41AC7"/>
    <w:rsid w:val="00A42425"/>
    <w:rsid w:val="00A45DDB"/>
    <w:rsid w:val="00A46404"/>
    <w:rsid w:val="00A46CED"/>
    <w:rsid w:val="00A46E98"/>
    <w:rsid w:val="00A50727"/>
    <w:rsid w:val="00A51D06"/>
    <w:rsid w:val="00A51D23"/>
    <w:rsid w:val="00A52418"/>
    <w:rsid w:val="00A52A1D"/>
    <w:rsid w:val="00A52EDD"/>
    <w:rsid w:val="00A53FA6"/>
    <w:rsid w:val="00A6352B"/>
    <w:rsid w:val="00A65C9C"/>
    <w:rsid w:val="00A66877"/>
    <w:rsid w:val="00A701B5"/>
    <w:rsid w:val="00A714BB"/>
    <w:rsid w:val="00A77659"/>
    <w:rsid w:val="00A77CF6"/>
    <w:rsid w:val="00A81CC3"/>
    <w:rsid w:val="00A82AF9"/>
    <w:rsid w:val="00A831ED"/>
    <w:rsid w:val="00A84593"/>
    <w:rsid w:val="00A85B0E"/>
    <w:rsid w:val="00A86314"/>
    <w:rsid w:val="00A86331"/>
    <w:rsid w:val="00A91B9B"/>
    <w:rsid w:val="00A9244B"/>
    <w:rsid w:val="00A92D8F"/>
    <w:rsid w:val="00A92F6E"/>
    <w:rsid w:val="00A93767"/>
    <w:rsid w:val="00A94633"/>
    <w:rsid w:val="00A94C30"/>
    <w:rsid w:val="00AB1CBD"/>
    <w:rsid w:val="00AB1CFD"/>
    <w:rsid w:val="00AB2988"/>
    <w:rsid w:val="00AB389C"/>
    <w:rsid w:val="00AB3B49"/>
    <w:rsid w:val="00AB3E99"/>
    <w:rsid w:val="00AB41E6"/>
    <w:rsid w:val="00AB48D4"/>
    <w:rsid w:val="00AB77E5"/>
    <w:rsid w:val="00AB7999"/>
    <w:rsid w:val="00AC2F1C"/>
    <w:rsid w:val="00AC4174"/>
    <w:rsid w:val="00AC453A"/>
    <w:rsid w:val="00AC5333"/>
    <w:rsid w:val="00AC650C"/>
    <w:rsid w:val="00AC659B"/>
    <w:rsid w:val="00AD204C"/>
    <w:rsid w:val="00AD3292"/>
    <w:rsid w:val="00AD351A"/>
    <w:rsid w:val="00AD4EDC"/>
    <w:rsid w:val="00AD5C28"/>
    <w:rsid w:val="00AD6658"/>
    <w:rsid w:val="00AE1942"/>
    <w:rsid w:val="00AE2EA6"/>
    <w:rsid w:val="00AE399A"/>
    <w:rsid w:val="00AE4091"/>
    <w:rsid w:val="00AE5116"/>
    <w:rsid w:val="00AE7AF0"/>
    <w:rsid w:val="00AF0443"/>
    <w:rsid w:val="00AF0BDE"/>
    <w:rsid w:val="00AF11E9"/>
    <w:rsid w:val="00AF1367"/>
    <w:rsid w:val="00AF447C"/>
    <w:rsid w:val="00AF571E"/>
    <w:rsid w:val="00AF575F"/>
    <w:rsid w:val="00AF6699"/>
    <w:rsid w:val="00AF6923"/>
    <w:rsid w:val="00AF7780"/>
    <w:rsid w:val="00AF7E6D"/>
    <w:rsid w:val="00B00BEA"/>
    <w:rsid w:val="00B0125D"/>
    <w:rsid w:val="00B01E78"/>
    <w:rsid w:val="00B02C0B"/>
    <w:rsid w:val="00B07C1C"/>
    <w:rsid w:val="00B10652"/>
    <w:rsid w:val="00B12892"/>
    <w:rsid w:val="00B1310E"/>
    <w:rsid w:val="00B206FA"/>
    <w:rsid w:val="00B20DCF"/>
    <w:rsid w:val="00B26654"/>
    <w:rsid w:val="00B26878"/>
    <w:rsid w:val="00B277ED"/>
    <w:rsid w:val="00B27F59"/>
    <w:rsid w:val="00B32389"/>
    <w:rsid w:val="00B364BC"/>
    <w:rsid w:val="00B40045"/>
    <w:rsid w:val="00B40416"/>
    <w:rsid w:val="00B40646"/>
    <w:rsid w:val="00B44424"/>
    <w:rsid w:val="00B46B4D"/>
    <w:rsid w:val="00B500CA"/>
    <w:rsid w:val="00B515F2"/>
    <w:rsid w:val="00B520E3"/>
    <w:rsid w:val="00B53FB6"/>
    <w:rsid w:val="00B5564A"/>
    <w:rsid w:val="00B57C29"/>
    <w:rsid w:val="00B60AC4"/>
    <w:rsid w:val="00B60DCA"/>
    <w:rsid w:val="00B61C8A"/>
    <w:rsid w:val="00B62884"/>
    <w:rsid w:val="00B6503D"/>
    <w:rsid w:val="00B65256"/>
    <w:rsid w:val="00B6671E"/>
    <w:rsid w:val="00B732B4"/>
    <w:rsid w:val="00B73D1D"/>
    <w:rsid w:val="00B80341"/>
    <w:rsid w:val="00B8084E"/>
    <w:rsid w:val="00B80C36"/>
    <w:rsid w:val="00B83494"/>
    <w:rsid w:val="00B84D7D"/>
    <w:rsid w:val="00B86314"/>
    <w:rsid w:val="00B87F19"/>
    <w:rsid w:val="00B93134"/>
    <w:rsid w:val="00B93514"/>
    <w:rsid w:val="00B95A51"/>
    <w:rsid w:val="00BA0971"/>
    <w:rsid w:val="00BA1C2E"/>
    <w:rsid w:val="00BA4C80"/>
    <w:rsid w:val="00BA597C"/>
    <w:rsid w:val="00BB04C6"/>
    <w:rsid w:val="00BB090E"/>
    <w:rsid w:val="00BB0B31"/>
    <w:rsid w:val="00BB12F0"/>
    <w:rsid w:val="00BB2427"/>
    <w:rsid w:val="00BB481D"/>
    <w:rsid w:val="00BB483E"/>
    <w:rsid w:val="00BB7178"/>
    <w:rsid w:val="00BB796D"/>
    <w:rsid w:val="00BC200B"/>
    <w:rsid w:val="00BC4756"/>
    <w:rsid w:val="00BC69A4"/>
    <w:rsid w:val="00BC7572"/>
    <w:rsid w:val="00BD121C"/>
    <w:rsid w:val="00BD3A56"/>
    <w:rsid w:val="00BD3B6D"/>
    <w:rsid w:val="00BD3B8E"/>
    <w:rsid w:val="00BD41E4"/>
    <w:rsid w:val="00BD4A76"/>
    <w:rsid w:val="00BE0680"/>
    <w:rsid w:val="00BE2611"/>
    <w:rsid w:val="00BE305F"/>
    <w:rsid w:val="00BE4002"/>
    <w:rsid w:val="00BE5525"/>
    <w:rsid w:val="00BE5A97"/>
    <w:rsid w:val="00BE5B8E"/>
    <w:rsid w:val="00BE7BA3"/>
    <w:rsid w:val="00BF0DF5"/>
    <w:rsid w:val="00BF1D16"/>
    <w:rsid w:val="00BF25C3"/>
    <w:rsid w:val="00BF2AF4"/>
    <w:rsid w:val="00BF4935"/>
    <w:rsid w:val="00BF5682"/>
    <w:rsid w:val="00BF7B09"/>
    <w:rsid w:val="00C00652"/>
    <w:rsid w:val="00C016F6"/>
    <w:rsid w:val="00C02347"/>
    <w:rsid w:val="00C05923"/>
    <w:rsid w:val="00C11950"/>
    <w:rsid w:val="00C12317"/>
    <w:rsid w:val="00C1237A"/>
    <w:rsid w:val="00C13033"/>
    <w:rsid w:val="00C13896"/>
    <w:rsid w:val="00C13B7D"/>
    <w:rsid w:val="00C14410"/>
    <w:rsid w:val="00C1561B"/>
    <w:rsid w:val="00C15F4C"/>
    <w:rsid w:val="00C169D7"/>
    <w:rsid w:val="00C20A95"/>
    <w:rsid w:val="00C21D11"/>
    <w:rsid w:val="00C23F79"/>
    <w:rsid w:val="00C25AD8"/>
    <w:rsid w:val="00C2674F"/>
    <w:rsid w:val="00C2692F"/>
    <w:rsid w:val="00C30B63"/>
    <w:rsid w:val="00C3207C"/>
    <w:rsid w:val="00C32BA9"/>
    <w:rsid w:val="00C32BB4"/>
    <w:rsid w:val="00C400E1"/>
    <w:rsid w:val="00C40A7D"/>
    <w:rsid w:val="00C41187"/>
    <w:rsid w:val="00C42D14"/>
    <w:rsid w:val="00C433D5"/>
    <w:rsid w:val="00C45ECB"/>
    <w:rsid w:val="00C45FC7"/>
    <w:rsid w:val="00C46E95"/>
    <w:rsid w:val="00C47889"/>
    <w:rsid w:val="00C514DE"/>
    <w:rsid w:val="00C519D6"/>
    <w:rsid w:val="00C63C31"/>
    <w:rsid w:val="00C661F5"/>
    <w:rsid w:val="00C66A11"/>
    <w:rsid w:val="00C720C0"/>
    <w:rsid w:val="00C72360"/>
    <w:rsid w:val="00C72FE8"/>
    <w:rsid w:val="00C73206"/>
    <w:rsid w:val="00C733A4"/>
    <w:rsid w:val="00C74FB1"/>
    <w:rsid w:val="00C757A0"/>
    <w:rsid w:val="00C760DE"/>
    <w:rsid w:val="00C80646"/>
    <w:rsid w:val="00C80E03"/>
    <w:rsid w:val="00C822C4"/>
    <w:rsid w:val="00C82630"/>
    <w:rsid w:val="00C8301E"/>
    <w:rsid w:val="00C85B4E"/>
    <w:rsid w:val="00C8750C"/>
    <w:rsid w:val="00C90060"/>
    <w:rsid w:val="00C907F7"/>
    <w:rsid w:val="00C92CB1"/>
    <w:rsid w:val="00C946F9"/>
    <w:rsid w:val="00C94EE4"/>
    <w:rsid w:val="00CA0122"/>
    <w:rsid w:val="00CA2103"/>
    <w:rsid w:val="00CA2737"/>
    <w:rsid w:val="00CA28DE"/>
    <w:rsid w:val="00CA7C20"/>
    <w:rsid w:val="00CB22FB"/>
    <w:rsid w:val="00CB3198"/>
    <w:rsid w:val="00CB4592"/>
    <w:rsid w:val="00CB5E77"/>
    <w:rsid w:val="00CB6B99"/>
    <w:rsid w:val="00CC07C2"/>
    <w:rsid w:val="00CC118B"/>
    <w:rsid w:val="00CC2459"/>
    <w:rsid w:val="00CC2837"/>
    <w:rsid w:val="00CC3ED0"/>
    <w:rsid w:val="00CC59C6"/>
    <w:rsid w:val="00CD13DE"/>
    <w:rsid w:val="00CD227A"/>
    <w:rsid w:val="00CD2586"/>
    <w:rsid w:val="00CD6231"/>
    <w:rsid w:val="00CE0268"/>
    <w:rsid w:val="00CE2295"/>
    <w:rsid w:val="00CE22BA"/>
    <w:rsid w:val="00CE35E3"/>
    <w:rsid w:val="00CE38D2"/>
    <w:rsid w:val="00CE4C87"/>
    <w:rsid w:val="00CE544A"/>
    <w:rsid w:val="00CE6D84"/>
    <w:rsid w:val="00CF1192"/>
    <w:rsid w:val="00CF32A7"/>
    <w:rsid w:val="00CF4E15"/>
    <w:rsid w:val="00CF57EB"/>
    <w:rsid w:val="00CF62B2"/>
    <w:rsid w:val="00D02009"/>
    <w:rsid w:val="00D0399D"/>
    <w:rsid w:val="00D03E7C"/>
    <w:rsid w:val="00D11622"/>
    <w:rsid w:val="00D11E1C"/>
    <w:rsid w:val="00D12262"/>
    <w:rsid w:val="00D132E5"/>
    <w:rsid w:val="00D160B0"/>
    <w:rsid w:val="00D163D7"/>
    <w:rsid w:val="00D16B20"/>
    <w:rsid w:val="00D17F94"/>
    <w:rsid w:val="00D209CA"/>
    <w:rsid w:val="00D2161E"/>
    <w:rsid w:val="00D223FC"/>
    <w:rsid w:val="00D22960"/>
    <w:rsid w:val="00D241FF"/>
    <w:rsid w:val="00D24DD4"/>
    <w:rsid w:val="00D25A03"/>
    <w:rsid w:val="00D26D1E"/>
    <w:rsid w:val="00D35756"/>
    <w:rsid w:val="00D357A0"/>
    <w:rsid w:val="00D3622B"/>
    <w:rsid w:val="00D4040D"/>
    <w:rsid w:val="00D413B8"/>
    <w:rsid w:val="00D44947"/>
    <w:rsid w:val="00D45E2B"/>
    <w:rsid w:val="00D474CF"/>
    <w:rsid w:val="00D51A4D"/>
    <w:rsid w:val="00D54C87"/>
    <w:rsid w:val="00D5547E"/>
    <w:rsid w:val="00D563F6"/>
    <w:rsid w:val="00D56E95"/>
    <w:rsid w:val="00D57076"/>
    <w:rsid w:val="00D60200"/>
    <w:rsid w:val="00D67885"/>
    <w:rsid w:val="00D7046B"/>
    <w:rsid w:val="00D71DDE"/>
    <w:rsid w:val="00D72C8D"/>
    <w:rsid w:val="00D7667D"/>
    <w:rsid w:val="00D76AA5"/>
    <w:rsid w:val="00D7709B"/>
    <w:rsid w:val="00D77751"/>
    <w:rsid w:val="00D819B3"/>
    <w:rsid w:val="00D82027"/>
    <w:rsid w:val="00D8272F"/>
    <w:rsid w:val="00D869A1"/>
    <w:rsid w:val="00D905C7"/>
    <w:rsid w:val="00D9110B"/>
    <w:rsid w:val="00D96B11"/>
    <w:rsid w:val="00D977D6"/>
    <w:rsid w:val="00DA413F"/>
    <w:rsid w:val="00DA4584"/>
    <w:rsid w:val="00DA614B"/>
    <w:rsid w:val="00DA74DA"/>
    <w:rsid w:val="00DB0200"/>
    <w:rsid w:val="00DB13DB"/>
    <w:rsid w:val="00DB40A3"/>
    <w:rsid w:val="00DB5E73"/>
    <w:rsid w:val="00DB71EB"/>
    <w:rsid w:val="00DC182C"/>
    <w:rsid w:val="00DC1F43"/>
    <w:rsid w:val="00DC23A9"/>
    <w:rsid w:val="00DC3060"/>
    <w:rsid w:val="00DD03F8"/>
    <w:rsid w:val="00DD2353"/>
    <w:rsid w:val="00DD2B83"/>
    <w:rsid w:val="00DD396E"/>
    <w:rsid w:val="00DD512B"/>
    <w:rsid w:val="00DD54A8"/>
    <w:rsid w:val="00DD6652"/>
    <w:rsid w:val="00DD722C"/>
    <w:rsid w:val="00DE041F"/>
    <w:rsid w:val="00DE08E5"/>
    <w:rsid w:val="00DE0FB2"/>
    <w:rsid w:val="00DE1458"/>
    <w:rsid w:val="00DE2F66"/>
    <w:rsid w:val="00DE2F8F"/>
    <w:rsid w:val="00DE3268"/>
    <w:rsid w:val="00DE5019"/>
    <w:rsid w:val="00DE5C00"/>
    <w:rsid w:val="00DE77AE"/>
    <w:rsid w:val="00DF093E"/>
    <w:rsid w:val="00DF098E"/>
    <w:rsid w:val="00DF2F9B"/>
    <w:rsid w:val="00DF4738"/>
    <w:rsid w:val="00DF7BEF"/>
    <w:rsid w:val="00E001B2"/>
    <w:rsid w:val="00E00881"/>
    <w:rsid w:val="00E01F42"/>
    <w:rsid w:val="00E107CA"/>
    <w:rsid w:val="00E141C6"/>
    <w:rsid w:val="00E1547F"/>
    <w:rsid w:val="00E155EB"/>
    <w:rsid w:val="00E157FF"/>
    <w:rsid w:val="00E16948"/>
    <w:rsid w:val="00E206D6"/>
    <w:rsid w:val="00E2220D"/>
    <w:rsid w:val="00E26741"/>
    <w:rsid w:val="00E270C4"/>
    <w:rsid w:val="00E274DB"/>
    <w:rsid w:val="00E3160F"/>
    <w:rsid w:val="00E3210A"/>
    <w:rsid w:val="00E3307B"/>
    <w:rsid w:val="00E3366E"/>
    <w:rsid w:val="00E3407B"/>
    <w:rsid w:val="00E35CFA"/>
    <w:rsid w:val="00E35E8D"/>
    <w:rsid w:val="00E37251"/>
    <w:rsid w:val="00E402BD"/>
    <w:rsid w:val="00E40753"/>
    <w:rsid w:val="00E41F54"/>
    <w:rsid w:val="00E42EBA"/>
    <w:rsid w:val="00E44A0A"/>
    <w:rsid w:val="00E45179"/>
    <w:rsid w:val="00E52086"/>
    <w:rsid w:val="00E543A6"/>
    <w:rsid w:val="00E54D43"/>
    <w:rsid w:val="00E57026"/>
    <w:rsid w:val="00E6010D"/>
    <w:rsid w:val="00E60479"/>
    <w:rsid w:val="00E605C7"/>
    <w:rsid w:val="00E61D73"/>
    <w:rsid w:val="00E64E47"/>
    <w:rsid w:val="00E6798C"/>
    <w:rsid w:val="00E73355"/>
    <w:rsid w:val="00E73684"/>
    <w:rsid w:val="00E80686"/>
    <w:rsid w:val="00E818D6"/>
    <w:rsid w:val="00E835AB"/>
    <w:rsid w:val="00E83E04"/>
    <w:rsid w:val="00E83E58"/>
    <w:rsid w:val="00E847A6"/>
    <w:rsid w:val="00E8497C"/>
    <w:rsid w:val="00E854A0"/>
    <w:rsid w:val="00E86916"/>
    <w:rsid w:val="00E87F7A"/>
    <w:rsid w:val="00E93733"/>
    <w:rsid w:val="00E93B26"/>
    <w:rsid w:val="00E96BD7"/>
    <w:rsid w:val="00E96D58"/>
    <w:rsid w:val="00EA0DB1"/>
    <w:rsid w:val="00EA0EE9"/>
    <w:rsid w:val="00EA3130"/>
    <w:rsid w:val="00EA3797"/>
    <w:rsid w:val="00EA41DD"/>
    <w:rsid w:val="00EA7FF7"/>
    <w:rsid w:val="00EB068A"/>
    <w:rsid w:val="00EB1DA7"/>
    <w:rsid w:val="00EB338F"/>
    <w:rsid w:val="00EB3453"/>
    <w:rsid w:val="00EB34DB"/>
    <w:rsid w:val="00EB54FB"/>
    <w:rsid w:val="00EB59E9"/>
    <w:rsid w:val="00EB5BD4"/>
    <w:rsid w:val="00EB66F1"/>
    <w:rsid w:val="00EC3957"/>
    <w:rsid w:val="00EC4A78"/>
    <w:rsid w:val="00EC7FEC"/>
    <w:rsid w:val="00ED0A5F"/>
    <w:rsid w:val="00ED107E"/>
    <w:rsid w:val="00ED1345"/>
    <w:rsid w:val="00ED1971"/>
    <w:rsid w:val="00ED4F53"/>
    <w:rsid w:val="00ED52CA"/>
    <w:rsid w:val="00ED5860"/>
    <w:rsid w:val="00ED63D5"/>
    <w:rsid w:val="00EE1828"/>
    <w:rsid w:val="00EE1881"/>
    <w:rsid w:val="00EE1B3E"/>
    <w:rsid w:val="00EE1B74"/>
    <w:rsid w:val="00EE35C9"/>
    <w:rsid w:val="00EE39AE"/>
    <w:rsid w:val="00EF2C78"/>
    <w:rsid w:val="00EF4198"/>
    <w:rsid w:val="00EF7982"/>
    <w:rsid w:val="00F0438B"/>
    <w:rsid w:val="00F0529A"/>
    <w:rsid w:val="00F05ECA"/>
    <w:rsid w:val="00F07707"/>
    <w:rsid w:val="00F10D06"/>
    <w:rsid w:val="00F12D52"/>
    <w:rsid w:val="00F13BA9"/>
    <w:rsid w:val="00F1491F"/>
    <w:rsid w:val="00F169FA"/>
    <w:rsid w:val="00F237B7"/>
    <w:rsid w:val="00F24043"/>
    <w:rsid w:val="00F241B0"/>
    <w:rsid w:val="00F24538"/>
    <w:rsid w:val="00F24816"/>
    <w:rsid w:val="00F268C2"/>
    <w:rsid w:val="00F26F53"/>
    <w:rsid w:val="00F30D07"/>
    <w:rsid w:val="00F3566E"/>
    <w:rsid w:val="00F36259"/>
    <w:rsid w:val="00F3666F"/>
    <w:rsid w:val="00F375FB"/>
    <w:rsid w:val="00F41AC1"/>
    <w:rsid w:val="00F431BC"/>
    <w:rsid w:val="00F4367A"/>
    <w:rsid w:val="00F445B1"/>
    <w:rsid w:val="00F44B49"/>
    <w:rsid w:val="00F45CD4"/>
    <w:rsid w:val="00F469EE"/>
    <w:rsid w:val="00F47EB1"/>
    <w:rsid w:val="00F50468"/>
    <w:rsid w:val="00F50617"/>
    <w:rsid w:val="00F50CCD"/>
    <w:rsid w:val="00F50D59"/>
    <w:rsid w:val="00F52E15"/>
    <w:rsid w:val="00F54052"/>
    <w:rsid w:val="00F556AC"/>
    <w:rsid w:val="00F563F3"/>
    <w:rsid w:val="00F571F9"/>
    <w:rsid w:val="00F57900"/>
    <w:rsid w:val="00F60BBF"/>
    <w:rsid w:val="00F66DCA"/>
    <w:rsid w:val="00F67E17"/>
    <w:rsid w:val="00F70883"/>
    <w:rsid w:val="00F71ABE"/>
    <w:rsid w:val="00F71E55"/>
    <w:rsid w:val="00F74877"/>
    <w:rsid w:val="00F74F53"/>
    <w:rsid w:val="00F75549"/>
    <w:rsid w:val="00F7606D"/>
    <w:rsid w:val="00F77F98"/>
    <w:rsid w:val="00F81670"/>
    <w:rsid w:val="00F82024"/>
    <w:rsid w:val="00F82D52"/>
    <w:rsid w:val="00F93CA3"/>
    <w:rsid w:val="00F93E8D"/>
    <w:rsid w:val="00F95BC9"/>
    <w:rsid w:val="00F96A87"/>
    <w:rsid w:val="00F97C01"/>
    <w:rsid w:val="00F97D4B"/>
    <w:rsid w:val="00FA0868"/>
    <w:rsid w:val="00FA0C2D"/>
    <w:rsid w:val="00FA171C"/>
    <w:rsid w:val="00FA33B1"/>
    <w:rsid w:val="00FA385D"/>
    <w:rsid w:val="00FA4A8D"/>
    <w:rsid w:val="00FA5744"/>
    <w:rsid w:val="00FA578E"/>
    <w:rsid w:val="00FA624C"/>
    <w:rsid w:val="00FB072C"/>
    <w:rsid w:val="00FB1EEB"/>
    <w:rsid w:val="00FB282D"/>
    <w:rsid w:val="00FB2971"/>
    <w:rsid w:val="00FB4868"/>
    <w:rsid w:val="00FB70AC"/>
    <w:rsid w:val="00FB74B9"/>
    <w:rsid w:val="00FC1A3D"/>
    <w:rsid w:val="00FC262C"/>
    <w:rsid w:val="00FC3B1D"/>
    <w:rsid w:val="00FC5319"/>
    <w:rsid w:val="00FC6745"/>
    <w:rsid w:val="00FD0FAC"/>
    <w:rsid w:val="00FD1DFA"/>
    <w:rsid w:val="00FD262F"/>
    <w:rsid w:val="00FD4134"/>
    <w:rsid w:val="00FD4534"/>
    <w:rsid w:val="00FD4966"/>
    <w:rsid w:val="00FD5342"/>
    <w:rsid w:val="00FD5A79"/>
    <w:rsid w:val="00FE1E6D"/>
    <w:rsid w:val="00FE35F3"/>
    <w:rsid w:val="00FE3A39"/>
    <w:rsid w:val="00FE5735"/>
    <w:rsid w:val="00FE57DC"/>
    <w:rsid w:val="00FE5BBF"/>
    <w:rsid w:val="00FE7460"/>
    <w:rsid w:val="00FF0214"/>
    <w:rsid w:val="00FF1DFE"/>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5C507"/>
  <w15:docId w15:val="{954461A4-AC33-419F-A5D1-419DF7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customStyle="1" w:styleId="CommentTextChar">
    <w:name w:val="Comment Text Char"/>
    <w:basedOn w:val="DefaultParagraphFont"/>
    <w:link w:val="CommentText"/>
    <w:uiPriority w:val="99"/>
    <w:semiHidden/>
    <w:rsid w:val="007733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6548607">
      <w:bodyDiv w:val="1"/>
      <w:marLeft w:val="0"/>
      <w:marRight w:val="0"/>
      <w:marTop w:val="0"/>
      <w:marBottom w:val="0"/>
      <w:divBdr>
        <w:top w:val="none" w:sz="0" w:space="0" w:color="auto"/>
        <w:left w:val="none" w:sz="0" w:space="0" w:color="auto"/>
        <w:bottom w:val="none" w:sz="0" w:space="0" w:color="auto"/>
        <w:right w:val="none" w:sz="0" w:space="0" w:color="auto"/>
      </w:divBdr>
    </w:div>
    <w:div w:id="303044181">
      <w:bodyDiv w:val="1"/>
      <w:marLeft w:val="0"/>
      <w:marRight w:val="0"/>
      <w:marTop w:val="0"/>
      <w:marBottom w:val="0"/>
      <w:divBdr>
        <w:top w:val="none" w:sz="0" w:space="0" w:color="auto"/>
        <w:left w:val="none" w:sz="0" w:space="0" w:color="auto"/>
        <w:bottom w:val="none" w:sz="0" w:space="0" w:color="auto"/>
        <w:right w:val="none" w:sz="0" w:space="0" w:color="auto"/>
      </w:divBdr>
    </w:div>
    <w:div w:id="344283736">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46689724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8300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9589206">
      <w:bodyDiv w:val="1"/>
      <w:marLeft w:val="0"/>
      <w:marRight w:val="0"/>
      <w:marTop w:val="0"/>
      <w:marBottom w:val="0"/>
      <w:divBdr>
        <w:top w:val="none" w:sz="0" w:space="0" w:color="auto"/>
        <w:left w:val="none" w:sz="0" w:space="0" w:color="auto"/>
        <w:bottom w:val="none" w:sz="0" w:space="0" w:color="auto"/>
        <w:right w:val="none" w:sz="0" w:space="0" w:color="auto"/>
      </w:divBdr>
    </w:div>
    <w:div w:id="120601745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0787648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866668754">
      <w:bodyDiv w:val="1"/>
      <w:marLeft w:val="0"/>
      <w:marRight w:val="0"/>
      <w:marTop w:val="0"/>
      <w:marBottom w:val="0"/>
      <w:divBdr>
        <w:top w:val="none" w:sz="0" w:space="0" w:color="auto"/>
        <w:left w:val="none" w:sz="0" w:space="0" w:color="auto"/>
        <w:bottom w:val="none" w:sz="0" w:space="0" w:color="auto"/>
        <w:right w:val="none" w:sz="0" w:space="0" w:color="auto"/>
      </w:divBdr>
    </w:div>
    <w:div w:id="1882592893">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1636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jleo@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F130-A521-4D70-8DA7-B2A65DB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1962</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WOOD Richard</cp:lastModifiedBy>
  <cp:revision>9</cp:revision>
  <cp:lastPrinted>2019-05-17T10:23:00Z</cp:lastPrinted>
  <dcterms:created xsi:type="dcterms:W3CDTF">2021-12-01T17:06:00Z</dcterms:created>
  <dcterms:modified xsi:type="dcterms:W3CDTF">2021-12-06T14:12:00Z</dcterms:modified>
</cp:coreProperties>
</file>